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B240C" w14:textId="77777777" w:rsidR="001862F0" w:rsidRDefault="001862F0" w:rsidP="0039130F">
      <w:pPr>
        <w:shd w:val="clear" w:color="auto" w:fill="FFFFFF"/>
        <w:spacing w:line="252" w:lineRule="atLeast"/>
        <w:jc w:val="center"/>
        <w:outlineLvl w:val="2"/>
        <w:rPr>
          <w:rFonts w:ascii="Arial" w:eastAsia="Times New Roman" w:hAnsi="Arial" w:cs="Arial"/>
          <w:b/>
          <w:bCs/>
          <w:sz w:val="22"/>
          <w:szCs w:val="22"/>
          <w:u w:val="single"/>
          <w:cs/>
          <w:lang w:val="th-TH" w:bidi="th-TH"/>
        </w:rPr>
      </w:pPr>
      <w:r>
        <w:rPr>
          <w:rFonts w:ascii="Arial" w:eastAsia="Times New Roman" w:hAnsi="Arial" w:cs="Arial"/>
          <w:b/>
          <w:bCs/>
          <w:sz w:val="22"/>
          <w:szCs w:val="22"/>
          <w:u w:val="single"/>
          <w:cs/>
          <w:lang w:val="th-TH" w:bidi="th-TH"/>
        </w:rPr>
        <w:t xml:space="preserve">A New and Improved PCR detection method for </w:t>
      </w:r>
      <w:r>
        <w:rPr>
          <w:rFonts w:ascii="Arial" w:eastAsia="Times New Roman" w:hAnsi="Arial" w:cs="Arial"/>
          <w:b/>
          <w:bCs/>
          <w:i/>
          <w:iCs/>
          <w:sz w:val="22"/>
          <w:szCs w:val="22"/>
          <w:u w:val="single"/>
          <w:cs/>
          <w:lang w:val="th-TH" w:bidi="th-TH"/>
        </w:rPr>
        <w:t>Enterocytozoon hepatopenaei</w:t>
      </w:r>
      <w:r w:rsidR="00F52BB2">
        <w:rPr>
          <w:rFonts w:ascii="Arial" w:eastAsia="Times New Roman" w:hAnsi="Arial" w:cs="Arial"/>
          <w:b/>
          <w:bCs/>
          <w:sz w:val="22"/>
          <w:szCs w:val="22"/>
          <w:u w:val="single"/>
          <w:cs/>
          <w:lang w:val="th-TH" w:bidi="th-TH"/>
        </w:rPr>
        <w:t xml:space="preserve"> (EHP) based on a gene</w:t>
      </w:r>
      <w:r w:rsidR="00F52BB2">
        <w:rPr>
          <w:rFonts w:ascii="Arial" w:eastAsia="Times New Roman" w:hAnsi="Arial" w:cs="Arial"/>
          <w:b/>
          <w:bCs/>
          <w:sz w:val="22"/>
          <w:szCs w:val="22"/>
          <w:u w:val="single"/>
          <w:lang w:bidi="th-TH"/>
        </w:rPr>
        <w:t xml:space="preserve"> </w:t>
      </w:r>
      <w:r>
        <w:rPr>
          <w:rFonts w:ascii="Arial" w:eastAsia="Times New Roman" w:hAnsi="Arial" w:cs="Arial"/>
          <w:b/>
          <w:bCs/>
          <w:sz w:val="22"/>
          <w:szCs w:val="22"/>
          <w:u w:val="single"/>
          <w:cs/>
          <w:lang w:val="th-TH" w:bidi="th-TH"/>
        </w:rPr>
        <w:t>encoding a spore wall protein</w:t>
      </w:r>
    </w:p>
    <w:p w14:paraId="7538CD90" w14:textId="77777777" w:rsidR="00DA35D0" w:rsidRDefault="00DA35D0" w:rsidP="00D02ABA">
      <w:pPr>
        <w:jc w:val="center"/>
        <w:rPr>
          <w:rFonts w:ascii="Arial" w:hAnsi="Arial" w:cs="Arial"/>
          <w:sz w:val="20"/>
        </w:rPr>
      </w:pPr>
    </w:p>
    <w:p w14:paraId="0602B362" w14:textId="77777777" w:rsidR="00D02ABA" w:rsidRDefault="00D02ABA" w:rsidP="00D02ABA">
      <w:pPr>
        <w:jc w:val="center"/>
        <w:rPr>
          <w:rFonts w:ascii="Arial" w:hAnsi="Arial" w:cs="Arial"/>
          <w:sz w:val="20"/>
        </w:rPr>
      </w:pPr>
      <w:r w:rsidRPr="00C068A8">
        <w:rPr>
          <w:rFonts w:ascii="Arial" w:hAnsi="Arial" w:cs="Arial"/>
          <w:sz w:val="20"/>
        </w:rPr>
        <w:t>Ornchuma Itsathitphaisarn</w:t>
      </w:r>
      <w:r w:rsidRPr="00C068A8">
        <w:rPr>
          <w:rFonts w:ascii="Arial" w:hAnsi="Arial" w:cs="Arial"/>
          <w:sz w:val="20"/>
          <w:vertAlign w:val="superscript"/>
        </w:rPr>
        <w:t>1</w:t>
      </w:r>
      <w:proofErr w:type="gramStart"/>
      <w:r w:rsidRPr="00C068A8">
        <w:rPr>
          <w:rFonts w:ascii="Arial" w:hAnsi="Arial" w:cs="Arial"/>
          <w:sz w:val="20"/>
          <w:vertAlign w:val="superscript"/>
        </w:rPr>
        <w:t>,2</w:t>
      </w:r>
      <w:proofErr w:type="gramEnd"/>
      <w:r w:rsidRPr="00C068A8">
        <w:rPr>
          <w:rFonts w:ascii="Arial" w:hAnsi="Arial" w:cs="Arial"/>
          <w:sz w:val="20"/>
        </w:rPr>
        <w:t>*</w:t>
      </w:r>
      <w:r w:rsidRPr="000B4F5D">
        <w:rPr>
          <w:rFonts w:ascii="Arial" w:hAnsi="Arial" w:cs="Arial"/>
          <w:sz w:val="20"/>
        </w:rPr>
        <w:t>,</w:t>
      </w:r>
      <w:r>
        <w:rPr>
          <w:rFonts w:ascii="Arial" w:hAnsi="Arial" w:cs="Arial"/>
          <w:sz w:val="20"/>
        </w:rPr>
        <w:t xml:space="preserve"> </w:t>
      </w:r>
      <w:proofErr w:type="spellStart"/>
      <w:r w:rsidRPr="00C068A8">
        <w:rPr>
          <w:rFonts w:ascii="Arial" w:hAnsi="Arial" w:cs="Arial"/>
          <w:sz w:val="20"/>
          <w:szCs w:val="32"/>
        </w:rPr>
        <w:t>Pattana</w:t>
      </w:r>
      <w:proofErr w:type="spellEnd"/>
      <w:r w:rsidRPr="00C068A8">
        <w:rPr>
          <w:rFonts w:ascii="Arial" w:hAnsi="Arial" w:cs="Arial"/>
          <w:sz w:val="20"/>
          <w:szCs w:val="32"/>
        </w:rPr>
        <w:t xml:space="preserve"> Jaroenlak</w:t>
      </w:r>
      <w:r w:rsidRPr="00C068A8">
        <w:rPr>
          <w:rFonts w:ascii="Arial" w:hAnsi="Arial" w:cs="Arial"/>
          <w:sz w:val="20"/>
          <w:szCs w:val="32"/>
          <w:vertAlign w:val="superscript"/>
        </w:rPr>
        <w:t>1,2</w:t>
      </w:r>
      <w:r w:rsidRPr="00C068A8">
        <w:rPr>
          <w:rFonts w:ascii="Arial" w:hAnsi="Arial" w:cs="Arial"/>
          <w:sz w:val="20"/>
          <w:szCs w:val="32"/>
        </w:rPr>
        <w:t xml:space="preserve">, </w:t>
      </w:r>
      <w:proofErr w:type="spellStart"/>
      <w:r w:rsidRPr="00C068A8">
        <w:rPr>
          <w:rFonts w:ascii="Arial" w:hAnsi="Arial" w:cs="Arial"/>
          <w:sz w:val="20"/>
          <w:szCs w:val="32"/>
        </w:rPr>
        <w:t>Piyachat</w:t>
      </w:r>
      <w:proofErr w:type="spellEnd"/>
      <w:r w:rsidRPr="00C068A8">
        <w:rPr>
          <w:rFonts w:ascii="Arial" w:hAnsi="Arial" w:cs="Arial"/>
          <w:sz w:val="20"/>
          <w:szCs w:val="32"/>
        </w:rPr>
        <w:t xml:space="preserve"> Sanguanrut</w:t>
      </w:r>
      <w:r w:rsidRPr="00C068A8">
        <w:rPr>
          <w:rFonts w:ascii="Arial" w:hAnsi="Arial" w:cs="Arial"/>
          <w:sz w:val="20"/>
          <w:szCs w:val="32"/>
          <w:vertAlign w:val="superscript"/>
        </w:rPr>
        <w:t>2,3</w:t>
      </w:r>
      <w:r w:rsidRPr="00C068A8">
        <w:rPr>
          <w:rFonts w:ascii="Arial" w:hAnsi="Arial" w:cs="Arial"/>
          <w:sz w:val="20"/>
          <w:szCs w:val="32"/>
        </w:rPr>
        <w:t xml:space="preserve">, Paul </w:t>
      </w:r>
      <w:proofErr w:type="spellStart"/>
      <w:r w:rsidRPr="00C068A8">
        <w:rPr>
          <w:rFonts w:ascii="Arial" w:hAnsi="Arial" w:cs="Arial"/>
          <w:sz w:val="20"/>
          <w:szCs w:val="32"/>
        </w:rPr>
        <w:t>Vinu</w:t>
      </w:r>
      <w:proofErr w:type="spellEnd"/>
      <w:r w:rsidRPr="00C068A8">
        <w:rPr>
          <w:rFonts w:ascii="Arial" w:hAnsi="Arial" w:cs="Arial"/>
          <w:sz w:val="20"/>
          <w:szCs w:val="32"/>
        </w:rPr>
        <w:t xml:space="preserve"> Salachan</w:t>
      </w:r>
      <w:r w:rsidRPr="00C068A8">
        <w:rPr>
          <w:rFonts w:ascii="Arial" w:hAnsi="Arial" w:cs="Arial"/>
          <w:sz w:val="20"/>
          <w:szCs w:val="32"/>
          <w:vertAlign w:val="superscript"/>
        </w:rPr>
        <w:t>2</w:t>
      </w:r>
      <w:r w:rsidRPr="00C068A8">
        <w:rPr>
          <w:rFonts w:ascii="Arial" w:hAnsi="Arial" w:cs="Arial"/>
          <w:sz w:val="20"/>
          <w:szCs w:val="32"/>
        </w:rPr>
        <w:t xml:space="preserve">, </w:t>
      </w:r>
      <w:r>
        <w:rPr>
          <w:rFonts w:ascii="Arial" w:hAnsi="Arial" w:cs="Arial"/>
          <w:sz w:val="20"/>
          <w:szCs w:val="32"/>
        </w:rPr>
        <w:t xml:space="preserve"> </w:t>
      </w:r>
      <w:r w:rsidRPr="00C068A8">
        <w:rPr>
          <w:rFonts w:ascii="Arial" w:hAnsi="Arial" w:cs="Arial"/>
          <w:sz w:val="20"/>
        </w:rPr>
        <w:t>Dominic Wiredu-Boakye</w:t>
      </w:r>
      <w:r w:rsidRPr="00C068A8">
        <w:rPr>
          <w:rFonts w:ascii="Arial" w:hAnsi="Arial" w:cs="Arial"/>
          <w:sz w:val="20"/>
          <w:vertAlign w:val="superscript"/>
        </w:rPr>
        <w:t>4</w:t>
      </w:r>
      <w:r w:rsidRPr="00C068A8">
        <w:rPr>
          <w:rFonts w:ascii="Arial" w:hAnsi="Arial" w:cs="Arial"/>
          <w:sz w:val="20"/>
        </w:rPr>
        <w:t>, Bryony A. P. Williams</w:t>
      </w:r>
      <w:r w:rsidRPr="00C068A8">
        <w:rPr>
          <w:rFonts w:ascii="Arial" w:hAnsi="Arial" w:cs="Arial"/>
          <w:sz w:val="20"/>
          <w:vertAlign w:val="superscript"/>
        </w:rPr>
        <w:t>4</w:t>
      </w:r>
      <w:r w:rsidRPr="00C068A8">
        <w:rPr>
          <w:rFonts w:ascii="Arial" w:hAnsi="Arial" w:cs="Arial"/>
          <w:sz w:val="20"/>
        </w:rPr>
        <w:t>, Grant D. Stantiford</w:t>
      </w:r>
      <w:r w:rsidRPr="00C068A8">
        <w:rPr>
          <w:rFonts w:ascii="Arial" w:hAnsi="Arial" w:cs="Arial"/>
          <w:sz w:val="20"/>
          <w:vertAlign w:val="superscript"/>
        </w:rPr>
        <w:t>5</w:t>
      </w:r>
      <w:r w:rsidRPr="00C068A8">
        <w:rPr>
          <w:rFonts w:ascii="Arial" w:hAnsi="Arial" w:cs="Arial"/>
          <w:sz w:val="20"/>
        </w:rPr>
        <w:t>,</w:t>
      </w:r>
      <w:r>
        <w:rPr>
          <w:rFonts w:ascii="Arial" w:hAnsi="Arial" w:cs="Arial"/>
          <w:sz w:val="20"/>
        </w:rPr>
        <w:t xml:space="preserve"> </w:t>
      </w:r>
    </w:p>
    <w:p w14:paraId="30A873F8" w14:textId="77777777" w:rsidR="00D02ABA" w:rsidRPr="004D374F" w:rsidRDefault="00D02ABA" w:rsidP="00D02ABA">
      <w:pPr>
        <w:jc w:val="center"/>
        <w:rPr>
          <w:rFonts w:ascii="Arial" w:hAnsi="Arial" w:cs="Arial"/>
          <w:sz w:val="20"/>
          <w:szCs w:val="32"/>
        </w:rPr>
      </w:pPr>
      <w:r w:rsidRPr="00C068A8">
        <w:rPr>
          <w:rFonts w:ascii="Arial" w:hAnsi="Arial" w:cs="Arial"/>
          <w:sz w:val="20"/>
        </w:rPr>
        <w:t>Timothy W. Flegel</w:t>
      </w:r>
      <w:r w:rsidRPr="00C068A8">
        <w:rPr>
          <w:rFonts w:ascii="Arial" w:hAnsi="Arial" w:cs="Arial"/>
          <w:sz w:val="20"/>
          <w:vertAlign w:val="superscript"/>
        </w:rPr>
        <w:t>2</w:t>
      </w:r>
      <w:proofErr w:type="gramStart"/>
      <w:r w:rsidRPr="00C068A8">
        <w:rPr>
          <w:rFonts w:ascii="Arial" w:hAnsi="Arial" w:cs="Arial"/>
          <w:sz w:val="20"/>
          <w:vertAlign w:val="superscript"/>
        </w:rPr>
        <w:t>,6</w:t>
      </w:r>
      <w:proofErr w:type="gramEnd"/>
      <w:r w:rsidRPr="00C068A8">
        <w:rPr>
          <w:rFonts w:ascii="Arial" w:hAnsi="Arial" w:cs="Arial"/>
          <w:sz w:val="20"/>
        </w:rPr>
        <w:t>,</w:t>
      </w:r>
      <w:r w:rsidRPr="00C068A8">
        <w:rPr>
          <w:rFonts w:ascii="Arial" w:hAnsi="Arial" w:cs="Arial"/>
          <w:sz w:val="20"/>
          <w:vertAlign w:val="subscript"/>
        </w:rPr>
        <w:t xml:space="preserve"> </w:t>
      </w:r>
      <w:proofErr w:type="spellStart"/>
      <w:r w:rsidRPr="00C068A8">
        <w:rPr>
          <w:rFonts w:ascii="Arial" w:hAnsi="Arial" w:cs="Arial"/>
          <w:sz w:val="20"/>
        </w:rPr>
        <w:t>Kallaya</w:t>
      </w:r>
      <w:proofErr w:type="spellEnd"/>
      <w:r w:rsidRPr="00C068A8">
        <w:rPr>
          <w:rFonts w:ascii="Arial" w:hAnsi="Arial" w:cs="Arial"/>
          <w:sz w:val="20"/>
        </w:rPr>
        <w:t xml:space="preserve"> Sritunyalucksana</w:t>
      </w:r>
      <w:r w:rsidRPr="00C068A8">
        <w:rPr>
          <w:rFonts w:ascii="Arial" w:hAnsi="Arial" w:cs="Arial"/>
          <w:sz w:val="20"/>
          <w:vertAlign w:val="superscript"/>
        </w:rPr>
        <w:t>3,6</w:t>
      </w:r>
    </w:p>
    <w:p w14:paraId="4975C1DE" w14:textId="77777777" w:rsidR="00D02ABA" w:rsidRPr="00C068A8" w:rsidRDefault="00D02ABA" w:rsidP="00D02ABA">
      <w:pPr>
        <w:rPr>
          <w:rFonts w:ascii="Arial" w:hAnsi="Arial" w:cs="Arial"/>
          <w:sz w:val="20"/>
          <w:szCs w:val="22"/>
          <w:vertAlign w:val="superscript"/>
        </w:rPr>
      </w:pPr>
    </w:p>
    <w:p w14:paraId="459B3425" w14:textId="77777777" w:rsidR="00D02ABA" w:rsidRPr="00C068A8" w:rsidRDefault="00D02ABA" w:rsidP="00D02ABA">
      <w:pPr>
        <w:jc w:val="center"/>
        <w:rPr>
          <w:rFonts w:ascii="Arial" w:hAnsi="Arial" w:cs="Arial"/>
          <w:sz w:val="20"/>
        </w:rPr>
      </w:pPr>
      <w:r w:rsidRPr="00C068A8">
        <w:rPr>
          <w:rFonts w:ascii="Arial" w:hAnsi="Arial" w:cs="Arial"/>
          <w:sz w:val="20"/>
          <w:vertAlign w:val="superscript"/>
        </w:rPr>
        <w:t xml:space="preserve">1 </w:t>
      </w:r>
      <w:r w:rsidRPr="00C068A8">
        <w:rPr>
          <w:rFonts w:ascii="Arial" w:hAnsi="Arial" w:cs="Arial"/>
          <w:sz w:val="20"/>
        </w:rPr>
        <w:t xml:space="preserve">Department of Biochemistry, Faculty of Science, </w:t>
      </w:r>
      <w:proofErr w:type="spellStart"/>
      <w:r w:rsidRPr="00C068A8">
        <w:rPr>
          <w:rFonts w:ascii="Arial" w:hAnsi="Arial" w:cs="Arial"/>
          <w:sz w:val="20"/>
        </w:rPr>
        <w:t>Mahidol</w:t>
      </w:r>
      <w:proofErr w:type="spellEnd"/>
      <w:r w:rsidRPr="00C068A8">
        <w:rPr>
          <w:rFonts w:ascii="Arial" w:hAnsi="Arial" w:cs="Arial"/>
          <w:sz w:val="20"/>
        </w:rPr>
        <w:t xml:space="preserve"> University, Bangkok, Thailand</w:t>
      </w:r>
    </w:p>
    <w:p w14:paraId="6E2C48C1" w14:textId="77777777" w:rsidR="00D02ABA" w:rsidRPr="00C068A8" w:rsidRDefault="00D02ABA" w:rsidP="00D02ABA">
      <w:pPr>
        <w:jc w:val="center"/>
        <w:rPr>
          <w:rFonts w:ascii="Arial" w:hAnsi="Arial" w:cs="Arial"/>
          <w:sz w:val="20"/>
        </w:rPr>
      </w:pPr>
      <w:r w:rsidRPr="00C068A8">
        <w:rPr>
          <w:rFonts w:ascii="Arial" w:hAnsi="Arial" w:cs="Arial"/>
          <w:sz w:val="20"/>
          <w:vertAlign w:val="superscript"/>
        </w:rPr>
        <w:t xml:space="preserve">2 </w:t>
      </w:r>
      <w:r w:rsidRPr="00C068A8">
        <w:rPr>
          <w:rFonts w:ascii="Arial" w:hAnsi="Arial" w:cs="Arial"/>
          <w:sz w:val="20"/>
        </w:rPr>
        <w:t xml:space="preserve">Center of Excellence for Shrimp Molecular biology and Biotechnology (Centex Shrimp), Faculty of Science, </w:t>
      </w:r>
      <w:proofErr w:type="spellStart"/>
      <w:r w:rsidRPr="00C068A8">
        <w:rPr>
          <w:rFonts w:ascii="Arial" w:hAnsi="Arial" w:cs="Arial"/>
          <w:sz w:val="20"/>
        </w:rPr>
        <w:t>Mahidol</w:t>
      </w:r>
      <w:proofErr w:type="spellEnd"/>
      <w:r w:rsidRPr="00C068A8">
        <w:rPr>
          <w:rFonts w:ascii="Arial" w:hAnsi="Arial" w:cs="Arial"/>
          <w:sz w:val="20"/>
        </w:rPr>
        <w:t xml:space="preserve"> University, Bangkok, Thailand</w:t>
      </w:r>
    </w:p>
    <w:p w14:paraId="33F001BC" w14:textId="77777777" w:rsidR="00D02ABA" w:rsidRPr="00C068A8" w:rsidRDefault="00D02ABA" w:rsidP="00D02ABA">
      <w:pPr>
        <w:jc w:val="center"/>
        <w:rPr>
          <w:rFonts w:ascii="Arial" w:hAnsi="Arial" w:cs="Arial"/>
          <w:sz w:val="20"/>
          <w:vertAlign w:val="superscript"/>
        </w:rPr>
      </w:pPr>
      <w:r w:rsidRPr="00C068A8">
        <w:rPr>
          <w:rFonts w:ascii="Arial" w:hAnsi="Arial" w:cs="Arial"/>
          <w:sz w:val="20"/>
          <w:vertAlign w:val="superscript"/>
        </w:rPr>
        <w:t xml:space="preserve">3 </w:t>
      </w:r>
      <w:r w:rsidRPr="00C068A8">
        <w:rPr>
          <w:rFonts w:ascii="Arial" w:hAnsi="Arial" w:cs="Arial"/>
          <w:sz w:val="20"/>
        </w:rPr>
        <w:t xml:space="preserve">Shrimp–Virus Interaction Laboratory (ASVI), National Center for Genetic Engineering and Biotechnology (BIOTEC), </w:t>
      </w:r>
      <w:proofErr w:type="spellStart"/>
      <w:r w:rsidRPr="00C068A8">
        <w:rPr>
          <w:rFonts w:ascii="Arial" w:hAnsi="Arial" w:cs="Arial"/>
          <w:sz w:val="20"/>
        </w:rPr>
        <w:t>Yothi</w:t>
      </w:r>
      <w:proofErr w:type="spellEnd"/>
      <w:r w:rsidRPr="00C068A8">
        <w:rPr>
          <w:rFonts w:ascii="Arial" w:hAnsi="Arial" w:cs="Arial"/>
          <w:sz w:val="20"/>
        </w:rPr>
        <w:t xml:space="preserve"> Office, Bangkok, Thailand</w:t>
      </w:r>
    </w:p>
    <w:p w14:paraId="197F593F" w14:textId="77777777" w:rsidR="00D02ABA" w:rsidRPr="00C068A8" w:rsidRDefault="00D02ABA" w:rsidP="00D02ABA">
      <w:pPr>
        <w:jc w:val="center"/>
        <w:rPr>
          <w:rFonts w:ascii="Arial" w:hAnsi="Arial" w:cs="Arial"/>
          <w:sz w:val="20"/>
        </w:rPr>
      </w:pPr>
      <w:r w:rsidRPr="00C068A8">
        <w:rPr>
          <w:rFonts w:ascii="Arial" w:hAnsi="Arial" w:cs="Arial"/>
          <w:sz w:val="20"/>
          <w:vertAlign w:val="superscript"/>
        </w:rPr>
        <w:t xml:space="preserve">4 </w:t>
      </w:r>
      <w:r w:rsidRPr="00C068A8">
        <w:rPr>
          <w:rFonts w:ascii="Arial" w:hAnsi="Arial" w:cs="Arial"/>
          <w:sz w:val="20"/>
        </w:rPr>
        <w:t>Biosciences, College of Life and Environmental Sciences, University of Exeter, Geoffrey Pope, Stocker Road, Exeter, UK</w:t>
      </w:r>
    </w:p>
    <w:p w14:paraId="458F9875" w14:textId="77777777" w:rsidR="00D02ABA" w:rsidRPr="00C068A8" w:rsidRDefault="00D02ABA" w:rsidP="00D02ABA">
      <w:pPr>
        <w:jc w:val="center"/>
        <w:rPr>
          <w:rFonts w:ascii="Arial" w:hAnsi="Arial" w:cs="Arial"/>
          <w:sz w:val="20"/>
        </w:rPr>
      </w:pPr>
      <w:r w:rsidRPr="00C068A8">
        <w:rPr>
          <w:rFonts w:ascii="Arial" w:hAnsi="Arial" w:cs="Arial"/>
          <w:sz w:val="20"/>
          <w:vertAlign w:val="superscript"/>
        </w:rPr>
        <w:t xml:space="preserve">5 </w:t>
      </w:r>
      <w:proofErr w:type="gramStart"/>
      <w:r w:rsidRPr="00C068A8">
        <w:rPr>
          <w:rFonts w:ascii="Arial" w:hAnsi="Arial" w:cs="Arial"/>
          <w:sz w:val="20"/>
        </w:rPr>
        <w:t>Center</w:t>
      </w:r>
      <w:proofErr w:type="gramEnd"/>
      <w:r w:rsidRPr="00C068A8">
        <w:rPr>
          <w:rFonts w:ascii="Arial" w:hAnsi="Arial" w:cs="Arial"/>
          <w:sz w:val="20"/>
        </w:rPr>
        <w:t xml:space="preserve"> for Environment, Fisheries and Aquaculture Science (</w:t>
      </w:r>
      <w:proofErr w:type="spellStart"/>
      <w:r w:rsidRPr="00C068A8">
        <w:rPr>
          <w:rFonts w:ascii="Arial" w:hAnsi="Arial" w:cs="Arial"/>
          <w:sz w:val="20"/>
        </w:rPr>
        <w:t>Cefas</w:t>
      </w:r>
      <w:proofErr w:type="spellEnd"/>
      <w:r w:rsidRPr="00C068A8">
        <w:rPr>
          <w:rFonts w:ascii="Arial" w:hAnsi="Arial" w:cs="Arial"/>
          <w:sz w:val="20"/>
        </w:rPr>
        <w:t>), Barrack Road, Weymouth, Dorset, UK</w:t>
      </w:r>
    </w:p>
    <w:p w14:paraId="30D8A0CA" w14:textId="77777777" w:rsidR="00D02ABA" w:rsidRPr="00C068A8" w:rsidRDefault="00D02ABA" w:rsidP="00D02ABA">
      <w:pPr>
        <w:jc w:val="center"/>
        <w:rPr>
          <w:rFonts w:ascii="Arial" w:hAnsi="Arial" w:cs="Arial"/>
          <w:sz w:val="20"/>
        </w:rPr>
      </w:pPr>
      <w:r w:rsidRPr="00C068A8">
        <w:rPr>
          <w:rFonts w:ascii="Arial" w:hAnsi="Arial" w:cs="Arial"/>
          <w:sz w:val="20"/>
          <w:vertAlign w:val="superscript"/>
        </w:rPr>
        <w:t>6</w:t>
      </w:r>
      <w:r w:rsidRPr="00C068A8">
        <w:rPr>
          <w:rFonts w:ascii="Arial" w:hAnsi="Arial" w:cs="Arial"/>
          <w:sz w:val="20"/>
        </w:rPr>
        <w:t xml:space="preserve">National Center for Genetic Engineering and Biotechnology (BIOTEC), National Science and Technology Development Agency (NSTDA), </w:t>
      </w:r>
      <w:proofErr w:type="spellStart"/>
      <w:r w:rsidRPr="00C068A8">
        <w:rPr>
          <w:rFonts w:ascii="Arial" w:hAnsi="Arial" w:cs="Arial"/>
          <w:sz w:val="20"/>
        </w:rPr>
        <w:t>Pathumthani</w:t>
      </w:r>
      <w:proofErr w:type="spellEnd"/>
      <w:r w:rsidRPr="00C068A8">
        <w:rPr>
          <w:rFonts w:ascii="Arial" w:hAnsi="Arial" w:cs="Arial"/>
          <w:sz w:val="20"/>
        </w:rPr>
        <w:t>, Thailand</w:t>
      </w:r>
    </w:p>
    <w:p w14:paraId="019D2886" w14:textId="77777777" w:rsidR="00D02ABA" w:rsidRPr="00C068A8" w:rsidRDefault="00D02ABA" w:rsidP="00D02ABA">
      <w:pPr>
        <w:rPr>
          <w:rFonts w:ascii="Arial" w:hAnsi="Arial" w:cs="Arial"/>
          <w:sz w:val="16"/>
          <w:szCs w:val="20"/>
        </w:rPr>
      </w:pPr>
    </w:p>
    <w:p w14:paraId="05284692" w14:textId="77777777" w:rsidR="00D02ABA" w:rsidRDefault="00D02ABA" w:rsidP="00D02ABA">
      <w:pPr>
        <w:rPr>
          <w:rFonts w:ascii="Arial" w:hAnsi="Arial" w:cs="Arial"/>
          <w:sz w:val="20"/>
        </w:rPr>
      </w:pPr>
      <w:r w:rsidRPr="00C068A8">
        <w:rPr>
          <w:rFonts w:ascii="Arial" w:hAnsi="Arial" w:cs="Arial"/>
          <w:sz w:val="20"/>
        </w:rPr>
        <w:t xml:space="preserve">* Corresponding author: </w:t>
      </w:r>
      <w:hyperlink r:id="rId8" w:history="1">
        <w:r w:rsidRPr="00DC3B2F">
          <w:rPr>
            <w:rStyle w:val="Hyperlink"/>
            <w:rFonts w:ascii="Arial" w:hAnsi="Arial" w:cs="Arial"/>
            <w:sz w:val="20"/>
          </w:rPr>
          <w:t>ornchuma.its@mahidol.ac.th</w:t>
        </w:r>
      </w:hyperlink>
    </w:p>
    <w:p w14:paraId="7527F0C1" w14:textId="77777777" w:rsidR="008050A3" w:rsidRPr="00C068A8" w:rsidRDefault="008050A3" w:rsidP="0039130F">
      <w:pPr>
        <w:rPr>
          <w:rFonts w:ascii="Arial" w:hAnsi="Arial" w:cs="Arial"/>
          <w:sz w:val="20"/>
        </w:rPr>
      </w:pPr>
    </w:p>
    <w:p w14:paraId="184C1DC6" w14:textId="77777777" w:rsidR="00D24DD9" w:rsidRPr="00FB3075" w:rsidRDefault="00D24DD9" w:rsidP="0039130F">
      <w:pPr>
        <w:shd w:val="clear" w:color="auto" w:fill="FFFFFF"/>
        <w:spacing w:line="252" w:lineRule="atLeast"/>
        <w:jc w:val="both"/>
        <w:outlineLvl w:val="2"/>
        <w:rPr>
          <w:rFonts w:ascii="Arial" w:eastAsia="Times New Roman" w:hAnsi="Arial" w:cs="Arial"/>
          <w:b/>
          <w:bCs/>
          <w:sz w:val="22"/>
          <w:szCs w:val="22"/>
          <w:u w:val="single"/>
          <w:cs/>
          <w:lang w:val="th-TH" w:bidi="th-TH"/>
        </w:rPr>
      </w:pPr>
      <w:r w:rsidRPr="00FB3075">
        <w:rPr>
          <w:rFonts w:ascii="Arial" w:eastAsia="Times New Roman" w:hAnsi="Arial" w:cs="Arial"/>
          <w:b/>
          <w:bCs/>
          <w:sz w:val="22"/>
          <w:szCs w:val="22"/>
          <w:u w:val="single"/>
          <w:cs/>
          <w:lang w:val="th-TH" w:bidi="th-TH"/>
        </w:rPr>
        <w:t>Background</w:t>
      </w:r>
    </w:p>
    <w:p w14:paraId="3B1F00AF" w14:textId="77777777" w:rsidR="0067201D" w:rsidRDefault="005A6476" w:rsidP="0039130F">
      <w:pPr>
        <w:shd w:val="clear" w:color="auto" w:fill="FFFFFF"/>
        <w:spacing w:line="252" w:lineRule="atLeast"/>
        <w:jc w:val="both"/>
        <w:rPr>
          <w:rFonts w:ascii="Arial" w:hAnsi="Arial" w:cs="Arial"/>
          <w:sz w:val="20"/>
          <w:szCs w:val="20"/>
          <w:lang w:bidi="th-TH"/>
        </w:rPr>
      </w:pPr>
      <w:proofErr w:type="spellStart"/>
      <w:r>
        <w:rPr>
          <w:rFonts w:ascii="Arial" w:hAnsi="Arial" w:cs="Arial"/>
          <w:sz w:val="20"/>
          <w:szCs w:val="20"/>
          <w:lang w:bidi="th-TH"/>
        </w:rPr>
        <w:t>Hepatopancreatic</w:t>
      </w:r>
      <w:proofErr w:type="spellEnd"/>
      <w:r>
        <w:rPr>
          <w:rFonts w:ascii="Arial" w:hAnsi="Arial" w:cs="Arial"/>
          <w:sz w:val="20"/>
          <w:szCs w:val="20"/>
          <w:lang w:bidi="th-TH"/>
        </w:rPr>
        <w:t xml:space="preserve"> </w:t>
      </w:r>
      <w:proofErr w:type="spellStart"/>
      <w:r>
        <w:rPr>
          <w:rFonts w:ascii="Arial" w:hAnsi="Arial" w:cs="Arial"/>
          <w:sz w:val="20"/>
          <w:szCs w:val="20"/>
          <w:lang w:bidi="th-TH"/>
        </w:rPr>
        <w:t>microsporidiosis</w:t>
      </w:r>
      <w:proofErr w:type="spellEnd"/>
      <w:r>
        <w:rPr>
          <w:rFonts w:ascii="Arial" w:hAnsi="Arial" w:cs="Arial"/>
          <w:sz w:val="20"/>
          <w:szCs w:val="20"/>
          <w:lang w:bidi="th-TH"/>
        </w:rPr>
        <w:t xml:space="preserve"> (HPM) caused by </w:t>
      </w:r>
      <w:r w:rsidRPr="00FB3075">
        <w:rPr>
          <w:rFonts w:ascii="Arial" w:hAnsi="Arial" w:cs="Arial"/>
          <w:i/>
          <w:iCs/>
          <w:sz w:val="20"/>
          <w:szCs w:val="20"/>
          <w:cs/>
          <w:lang w:val="th-TH" w:bidi="th-TH"/>
        </w:rPr>
        <w:t xml:space="preserve">Enterocytozoon hepatopenaei </w:t>
      </w:r>
      <w:r w:rsidRPr="00FB3075">
        <w:rPr>
          <w:rFonts w:ascii="Arial" w:hAnsi="Arial" w:cs="Arial"/>
          <w:sz w:val="20"/>
          <w:szCs w:val="20"/>
          <w:cs/>
          <w:lang w:val="th-TH" w:bidi="th-TH"/>
        </w:rPr>
        <w:t>(EHP)</w:t>
      </w:r>
      <w:r>
        <w:rPr>
          <w:rFonts w:ascii="Arial" w:hAnsi="Arial" w:cs="Arial"/>
          <w:sz w:val="20"/>
          <w:szCs w:val="20"/>
          <w:lang w:bidi="th-TH"/>
        </w:rPr>
        <w:t xml:space="preserve"> is a newly emerging disease of cultivated shrimp in Asia. Current evidence indicates that it can be associated with severe growth retardation that may not be clearly evident until the second month of culture and that it may even cause low continuous mortality in the case of very severe infections. </w:t>
      </w:r>
      <w:r w:rsidR="0067201D">
        <w:rPr>
          <w:rFonts w:ascii="Arial" w:hAnsi="Arial" w:cs="Arial"/>
          <w:sz w:val="20"/>
          <w:szCs w:val="20"/>
          <w:lang w:bidi="th-TH"/>
        </w:rPr>
        <w:t xml:space="preserve">Current production losses to HPM in Asia have been estimated to be in the range of tens to hundreds of millions of US dollars per year. </w:t>
      </w:r>
      <w:r>
        <w:rPr>
          <w:rFonts w:ascii="Arial" w:hAnsi="Arial" w:cs="Arial"/>
          <w:sz w:val="20"/>
          <w:szCs w:val="20"/>
          <w:lang w:bidi="th-TH"/>
        </w:rPr>
        <w:t>Transmission to shrimp rearing ponds may come via post larvae (PL) used to stock ponds or via environmental sources such</w:t>
      </w:r>
      <w:r w:rsidR="00DD384B">
        <w:rPr>
          <w:rFonts w:ascii="Arial" w:hAnsi="Arial" w:cs="Arial"/>
          <w:sz w:val="20"/>
          <w:szCs w:val="20"/>
          <w:lang w:bidi="th-TH"/>
        </w:rPr>
        <w:t xml:space="preserve"> as</w:t>
      </w:r>
      <w:r>
        <w:rPr>
          <w:rFonts w:ascii="Arial" w:hAnsi="Arial" w:cs="Arial"/>
          <w:sz w:val="20"/>
          <w:szCs w:val="20"/>
          <w:lang w:bidi="th-TH"/>
        </w:rPr>
        <w:t xml:space="preserve"> </w:t>
      </w:r>
      <w:r w:rsidR="0067201D">
        <w:rPr>
          <w:rFonts w:ascii="Arial" w:hAnsi="Arial" w:cs="Arial"/>
          <w:sz w:val="20"/>
          <w:szCs w:val="20"/>
          <w:lang w:bidi="th-TH"/>
        </w:rPr>
        <w:t xml:space="preserve">live </w:t>
      </w:r>
      <w:r>
        <w:rPr>
          <w:rFonts w:ascii="Arial" w:hAnsi="Arial" w:cs="Arial"/>
          <w:sz w:val="20"/>
          <w:szCs w:val="20"/>
          <w:lang w:bidi="th-TH"/>
        </w:rPr>
        <w:t xml:space="preserve">carriers or spores in water and sediments. Once transmitted to a pond, infected shrimp can spread the infection horizontally to other uninfected shrimp. </w:t>
      </w:r>
      <w:r w:rsidR="0067201D">
        <w:rPr>
          <w:rFonts w:ascii="Arial" w:hAnsi="Arial" w:cs="Arial"/>
          <w:sz w:val="20"/>
          <w:szCs w:val="20"/>
          <w:lang w:bidi="th-TH"/>
        </w:rPr>
        <w:t>The i</w:t>
      </w:r>
      <w:r>
        <w:rPr>
          <w:rFonts w:ascii="Arial" w:hAnsi="Arial" w:cs="Arial"/>
          <w:sz w:val="20"/>
          <w:szCs w:val="20"/>
          <w:lang w:bidi="th-TH"/>
        </w:rPr>
        <w:t xml:space="preserve">nfected post larvae from hatcheries commonly arise by EHP transmission from </w:t>
      </w:r>
      <w:proofErr w:type="spellStart"/>
      <w:r>
        <w:rPr>
          <w:rFonts w:ascii="Arial" w:hAnsi="Arial" w:cs="Arial"/>
          <w:sz w:val="20"/>
          <w:szCs w:val="20"/>
          <w:lang w:bidi="th-TH"/>
        </w:rPr>
        <w:t>broodstock</w:t>
      </w:r>
      <w:proofErr w:type="spellEnd"/>
      <w:r w:rsidR="0067201D">
        <w:rPr>
          <w:rFonts w:ascii="Arial" w:hAnsi="Arial" w:cs="Arial"/>
          <w:sz w:val="20"/>
          <w:szCs w:val="20"/>
          <w:lang w:bidi="th-TH"/>
        </w:rPr>
        <w:t>,</w:t>
      </w:r>
      <w:r>
        <w:rPr>
          <w:rFonts w:ascii="Arial" w:hAnsi="Arial" w:cs="Arial"/>
          <w:sz w:val="20"/>
          <w:szCs w:val="20"/>
          <w:lang w:bidi="th-TH"/>
        </w:rPr>
        <w:t xml:space="preserve"> especially if they have been raised</w:t>
      </w:r>
      <w:r w:rsidR="0067201D">
        <w:rPr>
          <w:rFonts w:ascii="Arial" w:hAnsi="Arial" w:cs="Arial"/>
          <w:sz w:val="20"/>
          <w:szCs w:val="20"/>
          <w:lang w:bidi="th-TH"/>
        </w:rPr>
        <w:t xml:space="preserve"> from PL derived from 1</w:t>
      </w:r>
      <w:r w:rsidR="0067201D" w:rsidRPr="0067201D">
        <w:rPr>
          <w:rFonts w:ascii="Arial" w:hAnsi="Arial" w:cs="Arial"/>
          <w:sz w:val="20"/>
          <w:szCs w:val="20"/>
          <w:vertAlign w:val="superscript"/>
          <w:lang w:bidi="th-TH"/>
        </w:rPr>
        <w:t>st</w:t>
      </w:r>
      <w:r w:rsidR="0067201D">
        <w:rPr>
          <w:rFonts w:ascii="Arial" w:hAnsi="Arial" w:cs="Arial"/>
          <w:sz w:val="20"/>
          <w:szCs w:val="20"/>
          <w:lang w:bidi="th-TH"/>
        </w:rPr>
        <w:t>-generation SPF stocks to be</w:t>
      </w:r>
      <w:r>
        <w:rPr>
          <w:rFonts w:ascii="Arial" w:hAnsi="Arial" w:cs="Arial"/>
          <w:sz w:val="20"/>
          <w:szCs w:val="20"/>
          <w:lang w:bidi="th-TH"/>
        </w:rPr>
        <w:t xml:space="preserve"> </w:t>
      </w:r>
      <w:r w:rsidR="0067201D">
        <w:rPr>
          <w:rFonts w:ascii="Arial" w:hAnsi="Arial" w:cs="Arial"/>
          <w:sz w:val="20"/>
          <w:szCs w:val="20"/>
          <w:lang w:bidi="th-TH"/>
        </w:rPr>
        <w:t>2</w:t>
      </w:r>
      <w:r w:rsidR="0067201D" w:rsidRPr="0067201D">
        <w:rPr>
          <w:rFonts w:ascii="Arial" w:hAnsi="Arial" w:cs="Arial"/>
          <w:sz w:val="20"/>
          <w:szCs w:val="20"/>
          <w:vertAlign w:val="superscript"/>
          <w:lang w:bidi="th-TH"/>
        </w:rPr>
        <w:t>nd</w:t>
      </w:r>
      <w:r w:rsidR="0067201D">
        <w:rPr>
          <w:rFonts w:ascii="Arial" w:hAnsi="Arial" w:cs="Arial"/>
          <w:sz w:val="20"/>
          <w:szCs w:val="20"/>
          <w:lang w:bidi="th-TH"/>
        </w:rPr>
        <w:t>-</w:t>
      </w:r>
      <w:r>
        <w:rPr>
          <w:rFonts w:ascii="Arial" w:hAnsi="Arial" w:cs="Arial"/>
          <w:sz w:val="20"/>
          <w:szCs w:val="20"/>
          <w:lang w:bidi="th-TH"/>
        </w:rPr>
        <w:t xml:space="preserve">generation </w:t>
      </w:r>
      <w:proofErr w:type="spellStart"/>
      <w:r>
        <w:rPr>
          <w:rFonts w:ascii="Arial" w:hAnsi="Arial" w:cs="Arial"/>
          <w:sz w:val="20"/>
          <w:szCs w:val="20"/>
          <w:lang w:bidi="th-TH"/>
        </w:rPr>
        <w:t>broodstock</w:t>
      </w:r>
      <w:proofErr w:type="spellEnd"/>
      <w:r>
        <w:rPr>
          <w:rFonts w:ascii="Arial" w:hAnsi="Arial" w:cs="Arial"/>
          <w:sz w:val="20"/>
          <w:szCs w:val="20"/>
          <w:lang w:bidi="th-TH"/>
        </w:rPr>
        <w:t xml:space="preserve"> </w:t>
      </w:r>
      <w:r w:rsidR="0067201D">
        <w:rPr>
          <w:rFonts w:ascii="Arial" w:hAnsi="Arial" w:cs="Arial"/>
          <w:sz w:val="20"/>
          <w:szCs w:val="20"/>
          <w:lang w:bidi="th-TH"/>
        </w:rPr>
        <w:t xml:space="preserve">in </w:t>
      </w:r>
      <w:r>
        <w:rPr>
          <w:rFonts w:ascii="Arial" w:hAnsi="Arial" w:cs="Arial"/>
          <w:sz w:val="20"/>
          <w:szCs w:val="20"/>
          <w:lang w:bidi="th-TH"/>
        </w:rPr>
        <w:t>non-</w:t>
      </w:r>
      <w:proofErr w:type="spellStart"/>
      <w:r>
        <w:rPr>
          <w:rFonts w:ascii="Arial" w:hAnsi="Arial" w:cs="Arial"/>
          <w:sz w:val="20"/>
          <w:szCs w:val="20"/>
          <w:lang w:bidi="th-TH"/>
        </w:rPr>
        <w:t>biosecure</w:t>
      </w:r>
      <w:proofErr w:type="spellEnd"/>
      <w:r w:rsidR="0067201D">
        <w:rPr>
          <w:rFonts w:ascii="Arial" w:hAnsi="Arial" w:cs="Arial"/>
          <w:sz w:val="20"/>
          <w:szCs w:val="20"/>
          <w:lang w:bidi="th-TH"/>
        </w:rPr>
        <w:t xml:space="preserve"> facilities. In addition SPF </w:t>
      </w:r>
      <w:proofErr w:type="spellStart"/>
      <w:r w:rsidR="0067201D">
        <w:rPr>
          <w:rFonts w:ascii="Arial" w:hAnsi="Arial" w:cs="Arial"/>
          <w:sz w:val="20"/>
          <w:szCs w:val="20"/>
          <w:lang w:bidi="th-TH"/>
        </w:rPr>
        <w:t>broodstock</w:t>
      </w:r>
      <w:proofErr w:type="spellEnd"/>
      <w:r w:rsidR="0067201D">
        <w:rPr>
          <w:rFonts w:ascii="Arial" w:hAnsi="Arial" w:cs="Arial"/>
          <w:sz w:val="20"/>
          <w:szCs w:val="20"/>
          <w:lang w:bidi="th-TH"/>
        </w:rPr>
        <w:t xml:space="preserve">, free of EHP, may be contaminated by live feeds such as </w:t>
      </w:r>
      <w:proofErr w:type="spellStart"/>
      <w:r w:rsidR="0067201D">
        <w:rPr>
          <w:rFonts w:ascii="Arial" w:hAnsi="Arial" w:cs="Arial"/>
          <w:sz w:val="20"/>
          <w:szCs w:val="20"/>
          <w:lang w:bidi="th-TH"/>
        </w:rPr>
        <w:t>polychaetes</w:t>
      </w:r>
      <w:proofErr w:type="spellEnd"/>
      <w:r w:rsidR="0067201D">
        <w:rPr>
          <w:rFonts w:ascii="Arial" w:hAnsi="Arial" w:cs="Arial"/>
          <w:sz w:val="20"/>
          <w:szCs w:val="20"/>
          <w:lang w:bidi="th-TH"/>
        </w:rPr>
        <w:t xml:space="preserve"> and mollusks.</w:t>
      </w:r>
    </w:p>
    <w:p w14:paraId="2F6A058E" w14:textId="77777777" w:rsidR="0067201D" w:rsidRDefault="0067201D" w:rsidP="0039130F">
      <w:pPr>
        <w:shd w:val="clear" w:color="auto" w:fill="FFFFFF"/>
        <w:spacing w:line="252" w:lineRule="atLeast"/>
        <w:jc w:val="both"/>
        <w:rPr>
          <w:rFonts w:ascii="Arial" w:hAnsi="Arial" w:cs="Arial"/>
          <w:sz w:val="20"/>
          <w:szCs w:val="20"/>
          <w:lang w:bidi="th-TH"/>
        </w:rPr>
      </w:pPr>
    </w:p>
    <w:p w14:paraId="1163D31C" w14:textId="4E41B30A" w:rsidR="005A6476" w:rsidRPr="005A6476" w:rsidRDefault="0067201D" w:rsidP="0039130F">
      <w:pPr>
        <w:shd w:val="clear" w:color="auto" w:fill="FFFFFF"/>
        <w:spacing w:line="252" w:lineRule="atLeast"/>
        <w:jc w:val="both"/>
        <w:rPr>
          <w:rFonts w:ascii="Arial" w:hAnsi="Arial" w:cs="Arial"/>
          <w:sz w:val="20"/>
          <w:szCs w:val="20"/>
          <w:lang w:bidi="th-TH"/>
        </w:rPr>
      </w:pPr>
      <w:r>
        <w:rPr>
          <w:rFonts w:ascii="Arial" w:hAnsi="Arial" w:cs="Arial"/>
          <w:sz w:val="20"/>
          <w:szCs w:val="20"/>
          <w:lang w:bidi="th-TH"/>
        </w:rPr>
        <w:t xml:space="preserve">To assist in controlling infections in </w:t>
      </w:r>
      <w:proofErr w:type="spellStart"/>
      <w:r>
        <w:rPr>
          <w:rFonts w:ascii="Arial" w:hAnsi="Arial" w:cs="Arial"/>
          <w:sz w:val="20"/>
          <w:szCs w:val="20"/>
          <w:lang w:bidi="th-TH"/>
        </w:rPr>
        <w:t>broodstock</w:t>
      </w:r>
      <w:proofErr w:type="spellEnd"/>
      <w:r>
        <w:rPr>
          <w:rFonts w:ascii="Arial" w:hAnsi="Arial" w:cs="Arial"/>
          <w:sz w:val="20"/>
          <w:szCs w:val="20"/>
          <w:lang w:bidi="th-TH"/>
        </w:rPr>
        <w:t xml:space="preserve"> and PL,</w:t>
      </w:r>
      <w:r w:rsidR="005A6476">
        <w:rPr>
          <w:rFonts w:ascii="Arial" w:hAnsi="Arial" w:cs="Arial"/>
          <w:sz w:val="20"/>
          <w:szCs w:val="20"/>
          <w:lang w:bidi="th-TH"/>
        </w:rPr>
        <w:t xml:space="preserve"> </w:t>
      </w:r>
      <w:r>
        <w:rPr>
          <w:rFonts w:ascii="Arial" w:hAnsi="Arial" w:cs="Arial"/>
          <w:sz w:val="20"/>
          <w:szCs w:val="20"/>
          <w:lang w:bidi="th-TH"/>
        </w:rPr>
        <w:t xml:space="preserve">PCR methods based on </w:t>
      </w:r>
      <w:r w:rsidR="00533AA0">
        <w:rPr>
          <w:rFonts w:ascii="Arial" w:hAnsi="Arial" w:cs="Arial"/>
          <w:sz w:val="20"/>
          <w:szCs w:val="20"/>
          <w:lang w:bidi="th-TH"/>
        </w:rPr>
        <w:t xml:space="preserve">a gene encoding </w:t>
      </w:r>
      <w:r>
        <w:rPr>
          <w:rFonts w:ascii="Arial" w:hAnsi="Arial" w:cs="Arial"/>
          <w:sz w:val="20"/>
          <w:szCs w:val="20"/>
          <w:lang w:bidi="th-TH"/>
        </w:rPr>
        <w:t>the small subunit ribosomal</w:t>
      </w:r>
      <w:r w:rsidR="00533AA0">
        <w:rPr>
          <w:rFonts w:ascii="Arial" w:hAnsi="Arial" w:cs="Arial"/>
          <w:sz w:val="20"/>
          <w:szCs w:val="20"/>
          <w:lang w:bidi="th-TH"/>
        </w:rPr>
        <w:t xml:space="preserve"> </w:t>
      </w:r>
      <w:r>
        <w:rPr>
          <w:rFonts w:ascii="Arial" w:hAnsi="Arial" w:cs="Arial"/>
          <w:sz w:val="20"/>
          <w:szCs w:val="20"/>
          <w:lang w:bidi="th-TH"/>
        </w:rPr>
        <w:t xml:space="preserve">RNA </w:t>
      </w:r>
      <w:r w:rsidR="00822ECF">
        <w:rPr>
          <w:rFonts w:ascii="Arial" w:hAnsi="Arial" w:cs="Arial"/>
          <w:sz w:val="20"/>
          <w:szCs w:val="20"/>
          <w:lang w:bidi="th-TH"/>
        </w:rPr>
        <w:t>(SSU-</w:t>
      </w:r>
      <w:proofErr w:type="spellStart"/>
      <w:r w:rsidR="00822ECF">
        <w:rPr>
          <w:rFonts w:ascii="Arial" w:hAnsi="Arial" w:cs="Arial"/>
          <w:sz w:val="20"/>
          <w:szCs w:val="20"/>
          <w:lang w:bidi="th-TH"/>
        </w:rPr>
        <w:t>rRNA</w:t>
      </w:r>
      <w:proofErr w:type="spellEnd"/>
      <w:r w:rsidR="00822ECF">
        <w:rPr>
          <w:rFonts w:ascii="Arial" w:hAnsi="Arial" w:cs="Arial"/>
          <w:sz w:val="20"/>
          <w:szCs w:val="20"/>
          <w:lang w:bidi="th-TH"/>
        </w:rPr>
        <w:t xml:space="preserve">) </w:t>
      </w:r>
      <w:r>
        <w:rPr>
          <w:rFonts w:ascii="Arial" w:hAnsi="Arial" w:cs="Arial"/>
          <w:sz w:val="20"/>
          <w:szCs w:val="20"/>
          <w:lang w:bidi="th-TH"/>
        </w:rPr>
        <w:t>gene</w:t>
      </w:r>
      <w:r w:rsidR="00600FCF">
        <w:rPr>
          <w:rFonts w:ascii="Arial" w:hAnsi="Arial" w:cs="Arial"/>
          <w:sz w:val="20"/>
          <w:szCs w:val="20"/>
          <w:lang w:bidi="th-TH"/>
        </w:rPr>
        <w:t xml:space="preserve"> </w:t>
      </w:r>
      <w:r>
        <w:rPr>
          <w:rFonts w:ascii="Arial" w:hAnsi="Arial" w:cs="Arial"/>
          <w:sz w:val="20"/>
          <w:szCs w:val="20"/>
          <w:lang w:bidi="th-TH"/>
        </w:rPr>
        <w:t xml:space="preserve">of EHP </w:t>
      </w:r>
      <w:r w:rsidR="00600FCF">
        <w:rPr>
          <w:rFonts w:ascii="Arial" w:hAnsi="Arial" w:cs="Arial"/>
          <w:sz w:val="20"/>
          <w:szCs w:val="20"/>
          <w:lang w:bidi="th-TH"/>
        </w:rPr>
        <w:t xml:space="preserve">(SSU-PCR) </w:t>
      </w:r>
      <w:r>
        <w:rPr>
          <w:rFonts w:ascii="Arial" w:hAnsi="Arial" w:cs="Arial"/>
          <w:sz w:val="20"/>
          <w:szCs w:val="20"/>
          <w:lang w:bidi="th-TH"/>
        </w:rPr>
        <w:t>were developed</w:t>
      </w:r>
      <w:r w:rsidR="00600FCF">
        <w:rPr>
          <w:rFonts w:ascii="Arial" w:hAnsi="Arial" w:cs="Arial"/>
          <w:sz w:val="20"/>
          <w:szCs w:val="20"/>
          <w:lang w:bidi="th-TH"/>
        </w:rPr>
        <w:t xml:space="preserve"> for use in testing </w:t>
      </w:r>
      <w:proofErr w:type="spellStart"/>
      <w:r w:rsidR="00600FCF">
        <w:rPr>
          <w:rFonts w:ascii="Arial" w:hAnsi="Arial" w:cs="Arial"/>
          <w:sz w:val="20"/>
          <w:szCs w:val="20"/>
          <w:lang w:bidi="th-TH"/>
        </w:rPr>
        <w:t>broodstock</w:t>
      </w:r>
      <w:proofErr w:type="spellEnd"/>
      <w:r w:rsidR="00600FCF">
        <w:rPr>
          <w:rFonts w:ascii="Arial" w:hAnsi="Arial" w:cs="Arial"/>
          <w:sz w:val="20"/>
          <w:szCs w:val="20"/>
          <w:lang w:bidi="th-TH"/>
        </w:rPr>
        <w:t xml:space="preserve"> and PL and their live feeds for EHP infection</w:t>
      </w:r>
      <w:r w:rsidR="00DD384B">
        <w:rPr>
          <w:rFonts w:ascii="Arial" w:hAnsi="Arial" w:cs="Arial"/>
          <w:sz w:val="20"/>
          <w:szCs w:val="20"/>
          <w:lang w:bidi="th-TH"/>
        </w:rPr>
        <w:t>. However,</w:t>
      </w:r>
      <w:r w:rsidR="00600FCF">
        <w:rPr>
          <w:rFonts w:ascii="Arial" w:hAnsi="Arial" w:cs="Arial"/>
          <w:sz w:val="20"/>
          <w:szCs w:val="20"/>
          <w:lang w:bidi="th-TH"/>
        </w:rPr>
        <w:t xml:space="preserve"> it was subsequently learned that the SSU-PCR methods cross reacted with </w:t>
      </w:r>
      <w:r w:rsidR="00533AA0">
        <w:rPr>
          <w:rFonts w:ascii="Arial" w:hAnsi="Arial" w:cs="Arial"/>
          <w:sz w:val="20"/>
          <w:szCs w:val="20"/>
          <w:lang w:bidi="th-TH"/>
        </w:rPr>
        <w:t>SSU</w:t>
      </w:r>
      <w:r w:rsidR="00822ECF">
        <w:rPr>
          <w:rFonts w:ascii="Arial" w:hAnsi="Arial" w:cs="Arial"/>
          <w:sz w:val="20"/>
          <w:szCs w:val="20"/>
          <w:lang w:bidi="th-TH"/>
        </w:rPr>
        <w:t>-</w:t>
      </w:r>
      <w:proofErr w:type="spellStart"/>
      <w:r w:rsidR="00600FCF">
        <w:rPr>
          <w:rFonts w:ascii="Arial" w:hAnsi="Arial" w:cs="Arial"/>
          <w:sz w:val="20"/>
          <w:szCs w:val="20"/>
          <w:lang w:bidi="th-TH"/>
        </w:rPr>
        <w:t>rRNA</w:t>
      </w:r>
      <w:proofErr w:type="spellEnd"/>
      <w:r w:rsidR="00600FCF">
        <w:rPr>
          <w:rFonts w:ascii="Arial" w:hAnsi="Arial" w:cs="Arial"/>
          <w:sz w:val="20"/>
          <w:szCs w:val="20"/>
          <w:lang w:bidi="th-TH"/>
        </w:rPr>
        <w:t xml:space="preserve"> gene sequences of closely related </w:t>
      </w:r>
      <w:proofErr w:type="spellStart"/>
      <w:r w:rsidR="00600FCF">
        <w:rPr>
          <w:rFonts w:ascii="Arial" w:hAnsi="Arial" w:cs="Arial"/>
          <w:sz w:val="20"/>
          <w:szCs w:val="20"/>
          <w:lang w:bidi="th-TH"/>
        </w:rPr>
        <w:t>microsporidians</w:t>
      </w:r>
      <w:proofErr w:type="spellEnd"/>
      <w:r w:rsidR="00DD384B">
        <w:rPr>
          <w:rFonts w:ascii="Arial" w:hAnsi="Arial" w:cs="Arial"/>
          <w:sz w:val="20"/>
          <w:szCs w:val="20"/>
          <w:lang w:bidi="th-TH"/>
        </w:rPr>
        <w:t xml:space="preserve"> (see below)</w:t>
      </w:r>
      <w:r w:rsidR="00600FCF">
        <w:rPr>
          <w:rFonts w:ascii="Arial" w:hAnsi="Arial" w:cs="Arial"/>
          <w:sz w:val="20"/>
          <w:szCs w:val="20"/>
          <w:lang w:bidi="th-TH"/>
        </w:rPr>
        <w:t xml:space="preserve">, making them useful for testing cultivated shrimp only and not </w:t>
      </w:r>
      <w:proofErr w:type="gramStart"/>
      <w:r w:rsidR="00600FCF">
        <w:rPr>
          <w:rFonts w:ascii="Arial" w:hAnsi="Arial" w:cs="Arial"/>
          <w:sz w:val="20"/>
          <w:szCs w:val="20"/>
          <w:lang w:bidi="th-TH"/>
        </w:rPr>
        <w:t>for</w:t>
      </w:r>
      <w:proofErr w:type="gramEnd"/>
      <w:r w:rsidR="00600FCF">
        <w:rPr>
          <w:rFonts w:ascii="Arial" w:hAnsi="Arial" w:cs="Arial"/>
          <w:sz w:val="20"/>
          <w:szCs w:val="20"/>
          <w:lang w:bidi="th-TH"/>
        </w:rPr>
        <w:t xml:space="preserve"> testing environmental samples. For this reason, a more specific PCR detection method was needed and details of its</w:t>
      </w:r>
      <w:r w:rsidR="00DD384B">
        <w:rPr>
          <w:rFonts w:ascii="Arial" w:hAnsi="Arial" w:cs="Arial"/>
          <w:sz w:val="20"/>
          <w:szCs w:val="20"/>
          <w:lang w:bidi="th-TH"/>
        </w:rPr>
        <w:t xml:space="preserve"> development follow. Due to the urgency in stemming losses to HPM, we have decided to release this method for free, non-commercial use to the global shrimp farming community. We believe that any delay in release of the new method will result in proportional losses to shrimp farmers and that this should be of paramount concern. </w:t>
      </w:r>
      <w:r w:rsidR="001C19FA">
        <w:rPr>
          <w:rFonts w:ascii="Arial" w:hAnsi="Arial" w:cs="Arial"/>
          <w:sz w:val="20"/>
          <w:szCs w:val="20"/>
          <w:lang w:bidi="th-TH"/>
        </w:rPr>
        <w:t>By releasing the new method immediately, we hope that environmental reservoirs of EHP will be more quickly identified and control measures more speedily developed to block transmission</w:t>
      </w:r>
      <w:r w:rsidR="004E3F53">
        <w:rPr>
          <w:rFonts w:ascii="Arial" w:hAnsi="Arial" w:cs="Arial"/>
          <w:sz w:val="20"/>
          <w:szCs w:val="20"/>
          <w:lang w:bidi="th-TH"/>
        </w:rPr>
        <w:t>. The benefits gained by the industry will far outweigh any derived from sale of intellectual property rights.</w:t>
      </w:r>
      <w:r w:rsidR="00600FCF">
        <w:rPr>
          <w:rFonts w:ascii="Arial" w:hAnsi="Arial" w:cs="Arial"/>
          <w:sz w:val="20"/>
          <w:szCs w:val="20"/>
          <w:lang w:bidi="th-TH"/>
        </w:rPr>
        <w:t xml:space="preserve">  </w:t>
      </w:r>
      <w:r w:rsidR="005A6476">
        <w:rPr>
          <w:rFonts w:ascii="Arial" w:hAnsi="Arial" w:cs="Arial"/>
          <w:sz w:val="20"/>
          <w:szCs w:val="20"/>
          <w:lang w:bidi="th-TH"/>
        </w:rPr>
        <w:t xml:space="preserve">   </w:t>
      </w:r>
    </w:p>
    <w:p w14:paraId="3DA68754" w14:textId="77777777" w:rsidR="005A6476" w:rsidRDefault="005A6476" w:rsidP="0039130F">
      <w:pPr>
        <w:shd w:val="clear" w:color="auto" w:fill="FFFFFF"/>
        <w:spacing w:line="252" w:lineRule="atLeast"/>
        <w:jc w:val="both"/>
        <w:rPr>
          <w:rFonts w:ascii="Arial" w:hAnsi="Arial" w:cs="Arial"/>
          <w:sz w:val="20"/>
          <w:szCs w:val="20"/>
          <w:lang w:bidi="th-TH"/>
        </w:rPr>
      </w:pPr>
    </w:p>
    <w:p w14:paraId="38A27729" w14:textId="10BACE76" w:rsidR="00342395" w:rsidRPr="00FB3075" w:rsidRDefault="00D24DD9" w:rsidP="0039130F">
      <w:pPr>
        <w:shd w:val="clear" w:color="auto" w:fill="FFFFFF"/>
        <w:spacing w:line="252" w:lineRule="atLeast"/>
        <w:jc w:val="both"/>
        <w:rPr>
          <w:rFonts w:ascii="Arial" w:hAnsi="Arial" w:cs="Arial"/>
          <w:sz w:val="20"/>
          <w:szCs w:val="20"/>
          <w:cs/>
          <w:lang w:val="th-TH" w:bidi="th-TH"/>
        </w:rPr>
      </w:pPr>
      <w:r w:rsidRPr="00FB3075">
        <w:rPr>
          <w:rFonts w:ascii="Arial" w:hAnsi="Arial" w:cs="Arial"/>
          <w:sz w:val="20"/>
          <w:szCs w:val="20"/>
          <w:cs/>
          <w:lang w:val="th-TH" w:bidi="th-TH"/>
        </w:rPr>
        <w:t>Here we present a new method for detect</w:t>
      </w:r>
      <w:r w:rsidR="00533AA0">
        <w:rPr>
          <w:rFonts w:ascii="Arial" w:hAnsi="Arial" w:cs="Arial"/>
          <w:sz w:val="20"/>
          <w:szCs w:val="20"/>
          <w:cs/>
          <w:lang w:val="th-TH" w:bidi="th-TH"/>
        </w:rPr>
        <w:t>i</w:t>
      </w:r>
      <w:r w:rsidRPr="00FB3075">
        <w:rPr>
          <w:rFonts w:ascii="Arial" w:hAnsi="Arial" w:cs="Arial"/>
          <w:sz w:val="20"/>
          <w:szCs w:val="20"/>
          <w:cs/>
          <w:lang w:val="th-TH" w:bidi="th-TH"/>
        </w:rPr>
        <w:t xml:space="preserve">ng </w:t>
      </w:r>
      <w:r w:rsidRPr="00FB3075">
        <w:rPr>
          <w:rFonts w:ascii="Arial" w:hAnsi="Arial" w:cs="Arial"/>
          <w:i/>
          <w:iCs/>
          <w:sz w:val="20"/>
          <w:szCs w:val="20"/>
          <w:cs/>
          <w:lang w:val="th-TH" w:bidi="th-TH"/>
        </w:rPr>
        <w:t xml:space="preserve">Enterocytozoon hepatopenaei </w:t>
      </w:r>
      <w:r w:rsidRPr="00FB3075">
        <w:rPr>
          <w:rFonts w:ascii="Arial" w:hAnsi="Arial" w:cs="Arial"/>
          <w:sz w:val="20"/>
          <w:szCs w:val="20"/>
          <w:cs/>
          <w:lang w:val="th-TH" w:bidi="th-TH"/>
        </w:rPr>
        <w:t xml:space="preserve">(EHP) that has </w:t>
      </w:r>
      <w:r w:rsidR="00957C78">
        <w:rPr>
          <w:rFonts w:ascii="Arial" w:hAnsi="Arial" w:cs="Arial"/>
          <w:sz w:val="20"/>
          <w:szCs w:val="20"/>
          <w:cs/>
          <w:lang w:val="th-TH" w:bidi="th-TH"/>
        </w:rPr>
        <w:t>superior specificity to</w:t>
      </w:r>
      <w:r w:rsidRPr="00FB3075">
        <w:rPr>
          <w:rFonts w:ascii="Arial" w:hAnsi="Arial" w:cs="Arial"/>
          <w:sz w:val="20"/>
          <w:szCs w:val="20"/>
          <w:cs/>
          <w:lang w:val="th-TH" w:bidi="th-TH"/>
        </w:rPr>
        <w:t xml:space="preserve"> the </w:t>
      </w:r>
      <w:r w:rsidR="007B0DB3" w:rsidRPr="00FB3075">
        <w:rPr>
          <w:rFonts w:ascii="Arial" w:hAnsi="Arial" w:cs="Arial"/>
          <w:sz w:val="20"/>
          <w:szCs w:val="20"/>
          <w:cs/>
          <w:lang w:val="th-TH" w:bidi="th-TH"/>
        </w:rPr>
        <w:t xml:space="preserve">first generation </w:t>
      </w:r>
      <w:r w:rsidR="00533AA0">
        <w:rPr>
          <w:rFonts w:ascii="Arial" w:hAnsi="Arial" w:cs="Arial"/>
          <w:sz w:val="20"/>
          <w:szCs w:val="20"/>
          <w:cs/>
          <w:lang w:val="th-TH" w:bidi="th-TH"/>
        </w:rPr>
        <w:t xml:space="preserve">SSU-PCR </w:t>
      </w:r>
      <w:r w:rsidR="007B0DB3" w:rsidRPr="00FB3075">
        <w:rPr>
          <w:rFonts w:ascii="Arial" w:hAnsi="Arial" w:cs="Arial"/>
          <w:sz w:val="20"/>
          <w:szCs w:val="20"/>
          <w:cs/>
          <w:lang w:val="th-TH" w:bidi="th-TH"/>
        </w:rPr>
        <w:t xml:space="preserve">developed in 2009 when the genetic information of EHP was still limited. </w:t>
      </w:r>
      <w:r w:rsidR="00342395" w:rsidRPr="00FB3075">
        <w:rPr>
          <w:rFonts w:ascii="Arial" w:hAnsi="Arial" w:cs="Arial"/>
          <w:sz w:val="20"/>
          <w:szCs w:val="20"/>
          <w:cs/>
          <w:lang w:val="th-TH" w:bidi="th-TH"/>
        </w:rPr>
        <w:t xml:space="preserve">Feedback from users, particularly </w:t>
      </w:r>
      <w:r w:rsidR="00201B85">
        <w:rPr>
          <w:rFonts w:ascii="Arial" w:hAnsi="Arial" w:cs="Arial"/>
          <w:sz w:val="20"/>
          <w:szCs w:val="20"/>
          <w:cs/>
          <w:lang w:val="th-TH" w:bidi="th-TH"/>
        </w:rPr>
        <w:t>those in shrimp feed industry</w:t>
      </w:r>
      <w:r w:rsidR="00342395" w:rsidRPr="00FB3075">
        <w:rPr>
          <w:rFonts w:ascii="Arial" w:hAnsi="Arial" w:cs="Arial"/>
          <w:sz w:val="20"/>
          <w:szCs w:val="20"/>
          <w:cs/>
          <w:lang w:val="th-TH" w:bidi="th-TH"/>
        </w:rPr>
        <w:t xml:space="preserve">, indicated that the first generation method </w:t>
      </w:r>
      <w:r w:rsidR="00F52BB2">
        <w:rPr>
          <w:rFonts w:ascii="Arial" w:hAnsi="Arial" w:cs="Arial"/>
          <w:sz w:val="20"/>
          <w:szCs w:val="20"/>
          <w:lang w:bidi="th-TH"/>
        </w:rPr>
        <w:t>may yield</w:t>
      </w:r>
      <w:r w:rsidR="00342395" w:rsidRPr="00FB3075">
        <w:rPr>
          <w:rFonts w:ascii="Arial" w:hAnsi="Arial" w:cs="Arial"/>
          <w:sz w:val="20"/>
          <w:szCs w:val="20"/>
          <w:cs/>
          <w:lang w:val="th-TH" w:bidi="th-TH"/>
        </w:rPr>
        <w:t xml:space="preserve"> false positive</w:t>
      </w:r>
      <w:r w:rsidR="00201B85">
        <w:rPr>
          <w:rFonts w:ascii="Arial" w:hAnsi="Arial" w:cs="Arial"/>
          <w:sz w:val="20"/>
          <w:szCs w:val="20"/>
          <w:cs/>
          <w:lang w:val="th-TH" w:bidi="th-TH"/>
        </w:rPr>
        <w:t xml:space="preserve"> results</w:t>
      </w:r>
      <w:r w:rsidR="00F52BB2">
        <w:rPr>
          <w:rFonts w:ascii="Arial" w:hAnsi="Arial" w:cs="Arial"/>
          <w:sz w:val="20"/>
          <w:szCs w:val="20"/>
          <w:lang w:bidi="th-TH"/>
        </w:rPr>
        <w:t xml:space="preserve"> for EHP with </w:t>
      </w:r>
      <w:r w:rsidR="00F52BB2">
        <w:rPr>
          <w:rFonts w:ascii="Arial" w:hAnsi="Arial" w:cs="Arial"/>
          <w:sz w:val="20"/>
          <w:szCs w:val="20"/>
          <w:lang w:bidi="th-TH"/>
        </w:rPr>
        <w:lastRenderedPageBreak/>
        <w:t xml:space="preserve">shrimp feed and/or feces of shrimp eating that feed. With </w:t>
      </w:r>
      <w:proofErr w:type="spellStart"/>
      <w:r w:rsidR="00F52BB2">
        <w:rPr>
          <w:rFonts w:ascii="Arial" w:hAnsi="Arial" w:cs="Arial"/>
          <w:sz w:val="20"/>
          <w:szCs w:val="20"/>
          <w:lang w:bidi="th-TH"/>
        </w:rPr>
        <w:t>broodstock</w:t>
      </w:r>
      <w:proofErr w:type="spellEnd"/>
      <w:r w:rsidR="00F52BB2">
        <w:rPr>
          <w:rFonts w:ascii="Arial" w:hAnsi="Arial" w:cs="Arial"/>
          <w:sz w:val="20"/>
          <w:szCs w:val="20"/>
          <w:lang w:bidi="th-TH"/>
        </w:rPr>
        <w:t xml:space="preserve"> feces, there is a danger that the </w:t>
      </w:r>
      <w:proofErr w:type="spellStart"/>
      <w:r w:rsidR="00F52BB2">
        <w:rPr>
          <w:rFonts w:ascii="Arial" w:hAnsi="Arial" w:cs="Arial"/>
          <w:sz w:val="20"/>
          <w:szCs w:val="20"/>
          <w:lang w:bidi="th-TH"/>
        </w:rPr>
        <w:t>broodstock</w:t>
      </w:r>
      <w:proofErr w:type="spellEnd"/>
      <w:r w:rsidR="00F52BB2">
        <w:rPr>
          <w:rFonts w:ascii="Arial" w:hAnsi="Arial" w:cs="Arial"/>
          <w:sz w:val="20"/>
          <w:szCs w:val="20"/>
          <w:lang w:bidi="th-TH"/>
        </w:rPr>
        <w:t xml:space="preserve"> may be deemed infected with EHP and discarded</w:t>
      </w:r>
      <w:r w:rsidR="0039130F">
        <w:rPr>
          <w:rFonts w:ascii="Arial" w:hAnsi="Arial" w:cs="Arial"/>
          <w:sz w:val="20"/>
          <w:szCs w:val="20"/>
          <w:lang w:bidi="th-TH"/>
        </w:rPr>
        <w:t>,</w:t>
      </w:r>
      <w:r w:rsidR="00F52BB2">
        <w:rPr>
          <w:rFonts w:ascii="Arial" w:hAnsi="Arial" w:cs="Arial"/>
          <w:sz w:val="20"/>
          <w:szCs w:val="20"/>
          <w:lang w:bidi="th-TH"/>
        </w:rPr>
        <w:t xml:space="preserve"> or </w:t>
      </w:r>
      <w:proofErr w:type="gramStart"/>
      <w:r w:rsidR="00F52BB2">
        <w:rPr>
          <w:rFonts w:ascii="Arial" w:hAnsi="Arial" w:cs="Arial"/>
          <w:sz w:val="20"/>
          <w:szCs w:val="20"/>
          <w:lang w:bidi="th-TH"/>
        </w:rPr>
        <w:t>that positive feed or feed ingredients may be rej</w:t>
      </w:r>
      <w:r w:rsidR="0039130F">
        <w:rPr>
          <w:rFonts w:ascii="Arial" w:hAnsi="Arial" w:cs="Arial"/>
          <w:sz w:val="20"/>
          <w:szCs w:val="20"/>
          <w:lang w:bidi="th-TH"/>
        </w:rPr>
        <w:t>ected by users</w:t>
      </w:r>
      <w:proofErr w:type="gramEnd"/>
      <w:r w:rsidR="0039130F">
        <w:rPr>
          <w:rFonts w:ascii="Arial" w:hAnsi="Arial" w:cs="Arial"/>
          <w:sz w:val="20"/>
          <w:szCs w:val="20"/>
          <w:lang w:bidi="th-TH"/>
        </w:rPr>
        <w:t xml:space="preserve">, even though any </w:t>
      </w:r>
      <w:proofErr w:type="spellStart"/>
      <w:r w:rsidR="0039130F">
        <w:rPr>
          <w:rFonts w:ascii="Arial" w:hAnsi="Arial" w:cs="Arial"/>
          <w:sz w:val="20"/>
          <w:szCs w:val="20"/>
          <w:lang w:bidi="th-TH"/>
        </w:rPr>
        <w:t>microsporidian</w:t>
      </w:r>
      <w:proofErr w:type="spellEnd"/>
      <w:r w:rsidR="0039130F">
        <w:rPr>
          <w:rFonts w:ascii="Arial" w:hAnsi="Arial" w:cs="Arial"/>
          <w:sz w:val="20"/>
          <w:szCs w:val="20"/>
          <w:lang w:bidi="th-TH"/>
        </w:rPr>
        <w:t xml:space="preserve"> in the feed may have been killed during feed processing. </w:t>
      </w:r>
      <w:r w:rsidR="00F52BB2">
        <w:rPr>
          <w:rFonts w:ascii="Arial" w:hAnsi="Arial" w:cs="Arial"/>
          <w:sz w:val="20"/>
          <w:szCs w:val="20"/>
          <w:lang w:bidi="th-TH"/>
        </w:rPr>
        <w:t xml:space="preserve">Sequence comparison studies </w:t>
      </w:r>
      <w:r w:rsidR="0039130F">
        <w:rPr>
          <w:rFonts w:ascii="Arial" w:hAnsi="Arial" w:cs="Arial"/>
          <w:sz w:val="20"/>
          <w:szCs w:val="20"/>
          <w:lang w:bidi="th-TH"/>
        </w:rPr>
        <w:t xml:space="preserve">in </w:t>
      </w:r>
      <w:r w:rsidR="00F52BB2">
        <w:rPr>
          <w:rFonts w:ascii="Arial" w:hAnsi="Arial" w:cs="Arial"/>
          <w:sz w:val="20"/>
          <w:szCs w:val="20"/>
          <w:cs/>
          <w:lang w:val="th-TH" w:bidi="th-TH"/>
        </w:rPr>
        <w:t>our laborator</w:t>
      </w:r>
      <w:proofErr w:type="spellStart"/>
      <w:r w:rsidR="00F52BB2">
        <w:rPr>
          <w:rFonts w:ascii="Arial" w:hAnsi="Arial" w:cs="Arial"/>
          <w:sz w:val="20"/>
          <w:szCs w:val="20"/>
          <w:lang w:bidi="th-TH"/>
        </w:rPr>
        <w:t>ies</w:t>
      </w:r>
      <w:proofErr w:type="spellEnd"/>
      <w:r w:rsidR="00342395" w:rsidRPr="00FB3075">
        <w:rPr>
          <w:rFonts w:ascii="Arial" w:hAnsi="Arial" w:cs="Arial"/>
          <w:sz w:val="20"/>
          <w:szCs w:val="20"/>
          <w:cs/>
          <w:lang w:val="th-TH" w:bidi="th-TH"/>
        </w:rPr>
        <w:t xml:space="preserve"> revealed that false positive</w:t>
      </w:r>
      <w:r w:rsidR="00A3467E">
        <w:rPr>
          <w:rFonts w:ascii="Arial" w:hAnsi="Arial" w:cs="Arial"/>
          <w:sz w:val="20"/>
          <w:szCs w:val="20"/>
          <w:lang w:bidi="th-TH"/>
        </w:rPr>
        <w:t xml:space="preserve"> results</w:t>
      </w:r>
      <w:r w:rsidR="00342395" w:rsidRPr="00FB3075">
        <w:rPr>
          <w:rFonts w:ascii="Arial" w:hAnsi="Arial" w:cs="Arial"/>
          <w:sz w:val="20"/>
          <w:szCs w:val="20"/>
          <w:cs/>
          <w:lang w:val="th-TH" w:bidi="th-TH"/>
        </w:rPr>
        <w:t xml:space="preserve"> </w:t>
      </w:r>
      <w:r w:rsidR="00F52BB2">
        <w:rPr>
          <w:rFonts w:ascii="Arial" w:hAnsi="Arial" w:cs="Arial"/>
          <w:sz w:val="20"/>
          <w:szCs w:val="20"/>
          <w:lang w:bidi="th-TH"/>
        </w:rPr>
        <w:t>might result from</w:t>
      </w:r>
      <w:r w:rsidR="00342395" w:rsidRPr="00FB3075">
        <w:rPr>
          <w:rFonts w:ascii="Arial" w:hAnsi="Arial" w:cs="Arial"/>
          <w:sz w:val="20"/>
          <w:szCs w:val="20"/>
          <w:cs/>
          <w:lang w:val="th-TH" w:bidi="th-TH"/>
        </w:rPr>
        <w:t xml:space="preserve"> cross reactivity of the SSU-rRNA primers with </w:t>
      </w:r>
      <w:r w:rsidR="00A3467E">
        <w:rPr>
          <w:rFonts w:ascii="Arial" w:hAnsi="Arial" w:cs="Arial"/>
          <w:sz w:val="20"/>
          <w:szCs w:val="20"/>
          <w:lang w:bidi="th-TH"/>
        </w:rPr>
        <w:t>target</w:t>
      </w:r>
      <w:r w:rsidR="00342395" w:rsidRPr="00FB3075">
        <w:rPr>
          <w:rFonts w:ascii="Arial" w:hAnsi="Arial" w:cs="Arial"/>
          <w:sz w:val="20"/>
          <w:szCs w:val="20"/>
          <w:cs/>
          <w:lang w:val="th-TH" w:bidi="th-TH"/>
        </w:rPr>
        <w:t xml:space="preserve"> </w:t>
      </w:r>
      <w:r w:rsidR="00822ECF">
        <w:rPr>
          <w:rFonts w:ascii="Arial" w:hAnsi="Arial" w:cs="Arial"/>
          <w:sz w:val="20"/>
          <w:szCs w:val="20"/>
          <w:cs/>
          <w:lang w:val="th-TH" w:bidi="th-TH"/>
        </w:rPr>
        <w:t xml:space="preserve">DNA coding for </w:t>
      </w:r>
      <w:r w:rsidR="00342395" w:rsidRPr="00FB3075">
        <w:rPr>
          <w:rFonts w:ascii="Arial" w:hAnsi="Arial" w:cs="Arial"/>
          <w:sz w:val="20"/>
          <w:szCs w:val="20"/>
          <w:cs/>
          <w:lang w:val="th-TH" w:bidi="th-TH"/>
        </w:rPr>
        <w:t xml:space="preserve">SSU-rRNA from other microsporidia such as </w:t>
      </w:r>
      <w:r w:rsidR="00342395" w:rsidRPr="00FB3075">
        <w:rPr>
          <w:rFonts w:ascii="Arial" w:hAnsi="Arial" w:cs="Arial"/>
          <w:i/>
          <w:iCs/>
          <w:sz w:val="20"/>
          <w:szCs w:val="20"/>
          <w:cs/>
          <w:lang w:val="th-TH" w:bidi="th-TH"/>
        </w:rPr>
        <w:t>Hepatospora erioche</w:t>
      </w:r>
      <w:r w:rsidR="008D5BC4" w:rsidRPr="00FB3075">
        <w:rPr>
          <w:rFonts w:ascii="Arial" w:hAnsi="Arial" w:cs="Arial"/>
          <w:i/>
          <w:iCs/>
          <w:sz w:val="20"/>
          <w:szCs w:val="20"/>
          <w:cs/>
          <w:lang w:val="th-TH" w:bidi="th-TH"/>
        </w:rPr>
        <w:t>i</w:t>
      </w:r>
      <w:r w:rsidR="00342395" w:rsidRPr="00FB3075">
        <w:rPr>
          <w:rFonts w:ascii="Arial" w:hAnsi="Arial" w:cs="Arial"/>
          <w:i/>
          <w:iCs/>
          <w:sz w:val="20"/>
          <w:szCs w:val="20"/>
          <w:cs/>
          <w:lang w:val="th-TH" w:bidi="th-TH"/>
        </w:rPr>
        <w:t xml:space="preserve">r </w:t>
      </w:r>
      <w:r w:rsidR="00342395" w:rsidRPr="00FB3075">
        <w:rPr>
          <w:rFonts w:ascii="Arial" w:hAnsi="Arial" w:cs="Arial"/>
          <w:sz w:val="20"/>
          <w:szCs w:val="20"/>
          <w:cs/>
          <w:lang w:val="th-TH" w:bidi="th-TH"/>
        </w:rPr>
        <w:t xml:space="preserve">and </w:t>
      </w:r>
      <w:r w:rsidR="00342395" w:rsidRPr="00FB3075">
        <w:rPr>
          <w:rFonts w:ascii="Arial" w:hAnsi="Arial" w:cs="Arial"/>
          <w:i/>
          <w:iCs/>
          <w:sz w:val="20"/>
          <w:szCs w:val="20"/>
          <w:cs/>
          <w:lang w:val="th-TH" w:bidi="th-TH"/>
        </w:rPr>
        <w:t>Enterospora canceri</w:t>
      </w:r>
      <w:r w:rsidR="00342395" w:rsidRPr="00FB3075">
        <w:rPr>
          <w:rFonts w:ascii="Arial" w:hAnsi="Arial" w:cs="Arial"/>
          <w:sz w:val="20"/>
          <w:szCs w:val="20"/>
          <w:cs/>
          <w:lang w:val="th-TH" w:bidi="th-TH"/>
        </w:rPr>
        <w:t xml:space="preserve"> </w:t>
      </w:r>
      <w:r w:rsidR="00BF3E8C" w:rsidRPr="00FB3075">
        <w:rPr>
          <w:rFonts w:ascii="Arial" w:hAnsi="Arial" w:cs="Arial"/>
          <w:sz w:val="20"/>
          <w:szCs w:val="20"/>
          <w:cs/>
          <w:lang w:val="th-TH" w:bidi="th-TH"/>
        </w:rPr>
        <w:t xml:space="preserve">that </w:t>
      </w:r>
      <w:r w:rsidR="00BF3E8C">
        <w:rPr>
          <w:rFonts w:ascii="Arial" w:hAnsi="Arial" w:cs="Arial"/>
          <w:sz w:val="20"/>
          <w:szCs w:val="20"/>
          <w:cs/>
          <w:lang w:val="th-TH" w:bidi="th-TH"/>
        </w:rPr>
        <w:t xml:space="preserve">infect crab and </w:t>
      </w:r>
      <w:r w:rsidR="00BF3E8C" w:rsidRPr="00FB3075">
        <w:rPr>
          <w:rFonts w:ascii="Arial" w:hAnsi="Arial" w:cs="Arial"/>
          <w:sz w:val="20"/>
          <w:szCs w:val="20"/>
          <w:cs/>
          <w:lang w:val="th-TH" w:bidi="th-TH"/>
        </w:rPr>
        <w:t xml:space="preserve">are </w:t>
      </w:r>
      <w:r w:rsidR="00BF3E8C">
        <w:rPr>
          <w:rFonts w:ascii="Arial" w:hAnsi="Arial" w:cs="Arial"/>
          <w:sz w:val="20"/>
          <w:szCs w:val="20"/>
          <w:cs/>
          <w:lang w:val="th-TH" w:bidi="th-TH"/>
        </w:rPr>
        <w:t xml:space="preserve">the two most </w:t>
      </w:r>
      <w:r w:rsidR="00BF3E8C" w:rsidRPr="00FB3075">
        <w:rPr>
          <w:rFonts w:ascii="Arial" w:hAnsi="Arial" w:cs="Arial"/>
          <w:sz w:val="20"/>
          <w:szCs w:val="20"/>
          <w:cs/>
          <w:lang w:val="th-TH" w:bidi="th-TH"/>
        </w:rPr>
        <w:t>evolutionarily</w:t>
      </w:r>
      <w:r w:rsidR="00BF3E8C">
        <w:rPr>
          <w:rFonts w:ascii="Arial" w:hAnsi="Arial" w:cs="Arial"/>
          <w:sz w:val="20"/>
          <w:szCs w:val="20"/>
          <w:lang w:bidi="th-TH"/>
        </w:rPr>
        <w:t>,</w:t>
      </w:r>
      <w:r w:rsidR="00BF3E8C" w:rsidRPr="00FB3075">
        <w:rPr>
          <w:rFonts w:ascii="Arial" w:hAnsi="Arial" w:cs="Arial"/>
          <w:sz w:val="20"/>
          <w:szCs w:val="20"/>
          <w:cs/>
          <w:lang w:val="th-TH" w:bidi="th-TH"/>
        </w:rPr>
        <w:t xml:space="preserve"> closely related to EHP</w:t>
      </w:r>
      <w:r w:rsidR="00BF3E8C">
        <w:rPr>
          <w:rFonts w:ascii="Arial" w:hAnsi="Arial" w:cs="Arial"/>
          <w:sz w:val="20"/>
          <w:szCs w:val="20"/>
          <w:cs/>
          <w:lang w:val="th-TH" w:bidi="th-TH"/>
        </w:rPr>
        <w:t xml:space="preserve"> based on currently available sequences</w:t>
      </w:r>
      <w:r w:rsidR="00342395" w:rsidRPr="00FB3075">
        <w:rPr>
          <w:rFonts w:ascii="Arial" w:hAnsi="Arial" w:cs="Arial"/>
          <w:sz w:val="20"/>
          <w:szCs w:val="20"/>
          <w:cs/>
          <w:lang w:val="th-TH" w:bidi="th-TH"/>
        </w:rPr>
        <w:t xml:space="preserve">. </w:t>
      </w:r>
      <w:r w:rsidR="00F52BB2">
        <w:rPr>
          <w:rFonts w:ascii="Arial" w:hAnsi="Arial" w:cs="Arial"/>
          <w:sz w:val="20"/>
          <w:szCs w:val="20"/>
          <w:lang w:bidi="th-TH"/>
        </w:rPr>
        <w:t>Subsequent</w:t>
      </w:r>
      <w:r w:rsidR="0039130F">
        <w:rPr>
          <w:rFonts w:ascii="Arial" w:hAnsi="Arial" w:cs="Arial"/>
          <w:sz w:val="20"/>
          <w:szCs w:val="20"/>
          <w:lang w:bidi="th-TH"/>
        </w:rPr>
        <w:t xml:space="preserve"> laboratory tests confirmed that such cross reactions can occur. Thus, we implemented </w:t>
      </w:r>
      <w:r w:rsidR="00342395" w:rsidRPr="00FB3075">
        <w:rPr>
          <w:rFonts w:ascii="Arial" w:hAnsi="Arial" w:cs="Arial"/>
          <w:sz w:val="20"/>
          <w:szCs w:val="20"/>
          <w:cs/>
          <w:lang w:val="th-TH" w:bidi="th-TH"/>
        </w:rPr>
        <w:t xml:space="preserve">an EHP genome project </w:t>
      </w:r>
      <w:r w:rsidR="00636865">
        <w:rPr>
          <w:rFonts w:ascii="Arial" w:hAnsi="Arial" w:cs="Arial"/>
          <w:sz w:val="20"/>
          <w:szCs w:val="20"/>
          <w:cs/>
          <w:lang w:val="th-TH" w:bidi="th-TH"/>
        </w:rPr>
        <w:t>to identi</w:t>
      </w:r>
      <w:r w:rsidR="00636865">
        <w:rPr>
          <w:rFonts w:ascii="Arial" w:hAnsi="Arial" w:cs="Arial"/>
          <w:sz w:val="20"/>
          <w:szCs w:val="20"/>
          <w:lang w:bidi="th-TH"/>
        </w:rPr>
        <w:t>f</w:t>
      </w:r>
      <w:r w:rsidR="00026A9A">
        <w:rPr>
          <w:rFonts w:ascii="Arial" w:hAnsi="Arial" w:cs="Arial"/>
          <w:sz w:val="20"/>
          <w:szCs w:val="20"/>
          <w:cs/>
          <w:lang w:val="th-TH" w:bidi="th-TH"/>
        </w:rPr>
        <w:t xml:space="preserve">y </w:t>
      </w:r>
      <w:r w:rsidR="00342395" w:rsidRPr="00FB3075">
        <w:rPr>
          <w:rFonts w:ascii="Arial" w:hAnsi="Arial" w:cs="Arial"/>
          <w:sz w:val="20"/>
          <w:szCs w:val="20"/>
          <w:cs/>
          <w:lang w:val="th-TH" w:bidi="th-TH"/>
        </w:rPr>
        <w:t xml:space="preserve">EHP-specific genes that </w:t>
      </w:r>
      <w:r w:rsidR="0039130F">
        <w:rPr>
          <w:rFonts w:ascii="Arial" w:hAnsi="Arial" w:cs="Arial"/>
          <w:sz w:val="20"/>
          <w:szCs w:val="20"/>
          <w:lang w:bidi="th-TH"/>
        </w:rPr>
        <w:t>might</w:t>
      </w:r>
      <w:r w:rsidR="00342395" w:rsidRPr="00FB3075">
        <w:rPr>
          <w:rFonts w:ascii="Arial" w:hAnsi="Arial" w:cs="Arial"/>
          <w:sz w:val="20"/>
          <w:szCs w:val="20"/>
          <w:cs/>
          <w:lang w:val="th-TH" w:bidi="th-TH"/>
        </w:rPr>
        <w:t xml:space="preserve"> </w:t>
      </w:r>
      <w:r w:rsidR="00026A9A">
        <w:rPr>
          <w:rFonts w:ascii="Arial" w:hAnsi="Arial" w:cs="Arial"/>
          <w:sz w:val="20"/>
          <w:szCs w:val="20"/>
          <w:cs/>
          <w:lang w:val="th-TH" w:bidi="th-TH"/>
        </w:rPr>
        <w:t>be used to develop a new</w:t>
      </w:r>
      <w:r w:rsidR="0039130F">
        <w:rPr>
          <w:rFonts w:ascii="Arial" w:hAnsi="Arial" w:cs="Arial"/>
          <w:sz w:val="20"/>
          <w:szCs w:val="20"/>
          <w:lang w:bidi="th-TH"/>
        </w:rPr>
        <w:t xml:space="preserve"> PCR</w:t>
      </w:r>
      <w:r w:rsidR="00026A9A">
        <w:rPr>
          <w:rFonts w:ascii="Arial" w:hAnsi="Arial" w:cs="Arial"/>
          <w:sz w:val="20"/>
          <w:szCs w:val="20"/>
          <w:cs/>
          <w:lang w:val="th-TH" w:bidi="th-TH"/>
        </w:rPr>
        <w:t xml:space="preserve"> </w:t>
      </w:r>
      <w:r w:rsidR="0039130F">
        <w:rPr>
          <w:rFonts w:ascii="Arial" w:hAnsi="Arial" w:cs="Arial"/>
          <w:sz w:val="20"/>
          <w:szCs w:val="20"/>
          <w:cs/>
          <w:lang w:val="th-TH" w:bidi="th-TH"/>
        </w:rPr>
        <w:t>diagnostic</w:t>
      </w:r>
      <w:r w:rsidR="0039130F">
        <w:rPr>
          <w:rFonts w:ascii="Arial" w:hAnsi="Arial" w:cs="Arial"/>
          <w:sz w:val="20"/>
          <w:szCs w:val="20"/>
          <w:lang w:bidi="th-TH"/>
        </w:rPr>
        <w:t xml:space="preserve"> method</w:t>
      </w:r>
      <w:r w:rsidR="00026A9A">
        <w:rPr>
          <w:rFonts w:ascii="Arial" w:hAnsi="Arial" w:cs="Arial"/>
          <w:sz w:val="20"/>
          <w:szCs w:val="20"/>
          <w:cs/>
          <w:lang w:val="th-TH" w:bidi="th-TH"/>
        </w:rPr>
        <w:t xml:space="preserve"> to </w:t>
      </w:r>
      <w:r w:rsidR="0039130F">
        <w:rPr>
          <w:rFonts w:ascii="Arial" w:hAnsi="Arial" w:cs="Arial"/>
          <w:sz w:val="20"/>
          <w:szCs w:val="20"/>
          <w:lang w:bidi="th-TH"/>
        </w:rPr>
        <w:t>improve the</w:t>
      </w:r>
      <w:r w:rsidR="00342395" w:rsidRPr="00FB3075">
        <w:rPr>
          <w:rFonts w:ascii="Arial" w:hAnsi="Arial" w:cs="Arial"/>
          <w:sz w:val="20"/>
          <w:szCs w:val="20"/>
          <w:cs/>
          <w:lang w:val="th-TH" w:bidi="th-TH"/>
        </w:rPr>
        <w:t xml:space="preserve"> specificity of the first generation SSU-</w:t>
      </w:r>
      <w:r w:rsidR="0039130F">
        <w:rPr>
          <w:rFonts w:ascii="Arial" w:hAnsi="Arial" w:cs="Arial"/>
          <w:sz w:val="20"/>
          <w:szCs w:val="20"/>
          <w:lang w:bidi="th-TH"/>
        </w:rPr>
        <w:t>PCR</w:t>
      </w:r>
      <w:r w:rsidR="00342395" w:rsidRPr="00FB3075">
        <w:rPr>
          <w:rFonts w:ascii="Arial" w:hAnsi="Arial" w:cs="Arial"/>
          <w:sz w:val="20"/>
          <w:szCs w:val="20"/>
          <w:cs/>
          <w:lang w:val="th-TH" w:bidi="th-TH"/>
        </w:rPr>
        <w:t xml:space="preserve"> method.</w:t>
      </w:r>
    </w:p>
    <w:p w14:paraId="4BC22AF9" w14:textId="77777777" w:rsidR="00342395" w:rsidRPr="00FB3075" w:rsidRDefault="00342395" w:rsidP="0039130F">
      <w:pPr>
        <w:shd w:val="clear" w:color="auto" w:fill="FFFFFF"/>
        <w:spacing w:line="252" w:lineRule="atLeast"/>
        <w:jc w:val="both"/>
        <w:rPr>
          <w:rFonts w:ascii="Arial" w:hAnsi="Arial" w:cs="Arial"/>
          <w:sz w:val="20"/>
          <w:szCs w:val="20"/>
          <w:cs/>
          <w:lang w:val="th-TH" w:bidi="th-TH"/>
        </w:rPr>
      </w:pPr>
    </w:p>
    <w:p w14:paraId="72F76C71" w14:textId="7B5FAA75" w:rsidR="00C40E32" w:rsidRPr="00FB3075" w:rsidRDefault="008718E1" w:rsidP="0039130F">
      <w:pPr>
        <w:shd w:val="clear" w:color="auto" w:fill="FFFFFF"/>
        <w:spacing w:line="252" w:lineRule="atLeast"/>
        <w:jc w:val="both"/>
        <w:rPr>
          <w:rFonts w:ascii="Arial" w:hAnsi="Arial" w:cs="Arial"/>
          <w:sz w:val="20"/>
          <w:szCs w:val="20"/>
          <w:cs/>
          <w:lang w:val="th-TH" w:bidi="th-TH"/>
        </w:rPr>
      </w:pPr>
      <w:r w:rsidRPr="00FB3075">
        <w:rPr>
          <w:rFonts w:ascii="Arial" w:hAnsi="Arial" w:cs="Arial"/>
          <w:sz w:val="20"/>
          <w:szCs w:val="20"/>
          <w:cs/>
          <w:lang w:val="th-TH" w:bidi="th-TH"/>
        </w:rPr>
        <w:t>The second generation EHP detection method</w:t>
      </w:r>
      <w:r w:rsidR="0039130F">
        <w:rPr>
          <w:rFonts w:ascii="Arial" w:hAnsi="Arial" w:cs="Arial"/>
          <w:sz w:val="20"/>
          <w:szCs w:val="20"/>
          <w:lang w:bidi="th-TH"/>
        </w:rPr>
        <w:t xml:space="preserve"> </w:t>
      </w:r>
      <w:r w:rsidRPr="00FB3075">
        <w:rPr>
          <w:rFonts w:ascii="Arial" w:hAnsi="Arial" w:cs="Arial"/>
          <w:sz w:val="20"/>
          <w:szCs w:val="20"/>
          <w:cs/>
          <w:lang w:val="th-TH" w:bidi="th-TH"/>
        </w:rPr>
        <w:t xml:space="preserve">presented here is based on a gene encoding a spore wall protein </w:t>
      </w:r>
      <w:r w:rsidR="00A71F8B" w:rsidRPr="00FB3075">
        <w:rPr>
          <w:rFonts w:ascii="Arial" w:hAnsi="Arial" w:cs="Arial"/>
          <w:sz w:val="20"/>
          <w:szCs w:val="20"/>
          <w:cs/>
          <w:lang w:val="th-TH" w:bidi="th-TH"/>
        </w:rPr>
        <w:t xml:space="preserve">(SWP) </w:t>
      </w:r>
      <w:r w:rsidRPr="00FB3075">
        <w:rPr>
          <w:rFonts w:ascii="Arial" w:hAnsi="Arial" w:cs="Arial"/>
          <w:sz w:val="20"/>
          <w:szCs w:val="20"/>
          <w:cs/>
          <w:lang w:val="th-TH" w:bidi="th-TH"/>
        </w:rPr>
        <w:t>of EHP</w:t>
      </w:r>
      <w:r w:rsidR="0039130F">
        <w:rPr>
          <w:rFonts w:ascii="Arial" w:hAnsi="Arial" w:cs="Arial"/>
          <w:sz w:val="20"/>
          <w:szCs w:val="20"/>
          <w:lang w:bidi="th-TH"/>
        </w:rPr>
        <w:t xml:space="preserve"> (SWP-PCR)</w:t>
      </w:r>
      <w:r w:rsidRPr="00FB3075">
        <w:rPr>
          <w:rFonts w:ascii="Arial" w:hAnsi="Arial" w:cs="Arial"/>
          <w:sz w:val="20"/>
          <w:szCs w:val="20"/>
          <w:cs/>
          <w:lang w:val="th-TH" w:bidi="th-TH"/>
        </w:rPr>
        <w:t>. Results from our laboratory</w:t>
      </w:r>
      <w:r w:rsidR="0039130F">
        <w:rPr>
          <w:rFonts w:ascii="Arial" w:hAnsi="Arial" w:cs="Arial"/>
          <w:sz w:val="20"/>
          <w:szCs w:val="20"/>
          <w:lang w:bidi="th-TH"/>
        </w:rPr>
        <w:t xml:space="preserve"> work revealed</w:t>
      </w:r>
      <w:r w:rsidR="00A626D4">
        <w:rPr>
          <w:rFonts w:ascii="Arial" w:hAnsi="Arial" w:cs="Arial"/>
          <w:sz w:val="20"/>
          <w:szCs w:val="20"/>
          <w:lang w:bidi="th-TH"/>
        </w:rPr>
        <w:t>, in contrast to SSU-PCR,</w:t>
      </w:r>
      <w:r w:rsidR="0039130F">
        <w:rPr>
          <w:rFonts w:ascii="Arial" w:hAnsi="Arial" w:cs="Arial"/>
          <w:sz w:val="20"/>
          <w:szCs w:val="20"/>
          <w:lang w:bidi="th-TH"/>
        </w:rPr>
        <w:t xml:space="preserve"> that the </w:t>
      </w:r>
      <w:r w:rsidR="004F3D4F">
        <w:rPr>
          <w:rFonts w:ascii="Arial" w:hAnsi="Arial" w:cs="Arial"/>
          <w:sz w:val="20"/>
          <w:szCs w:val="20"/>
          <w:cs/>
          <w:lang w:val="th-TH" w:bidi="th-TH"/>
        </w:rPr>
        <w:t>SWP</w:t>
      </w:r>
      <w:r w:rsidR="0039130F">
        <w:rPr>
          <w:rFonts w:ascii="Arial" w:hAnsi="Arial" w:cs="Arial"/>
          <w:sz w:val="20"/>
          <w:szCs w:val="20"/>
          <w:lang w:bidi="th-TH"/>
        </w:rPr>
        <w:t xml:space="preserve">-PCR method did not give cross reactions with </w:t>
      </w:r>
      <w:r w:rsidRPr="00FB3075">
        <w:rPr>
          <w:rFonts w:ascii="Arial" w:hAnsi="Arial" w:cs="Arial"/>
          <w:sz w:val="20"/>
          <w:szCs w:val="20"/>
          <w:cs/>
          <w:lang w:val="th-TH" w:bidi="th-TH"/>
        </w:rPr>
        <w:t>DNA from</w:t>
      </w:r>
      <w:r w:rsidR="0039130F">
        <w:rPr>
          <w:rFonts w:ascii="Arial" w:hAnsi="Arial" w:cs="Arial"/>
          <w:sz w:val="20"/>
          <w:szCs w:val="20"/>
          <w:lang w:bidi="th-TH"/>
        </w:rPr>
        <w:t xml:space="preserve"> crabs infected with</w:t>
      </w:r>
      <w:r w:rsidRPr="00FB3075">
        <w:rPr>
          <w:rFonts w:ascii="Arial" w:hAnsi="Arial" w:cs="Arial"/>
          <w:sz w:val="20"/>
          <w:szCs w:val="20"/>
          <w:cs/>
          <w:lang w:val="th-TH" w:bidi="th-TH"/>
        </w:rPr>
        <w:t xml:space="preserve"> </w:t>
      </w:r>
      <w:r w:rsidRPr="00FB3075">
        <w:rPr>
          <w:rFonts w:ascii="Arial" w:hAnsi="Arial" w:cs="Arial"/>
          <w:i/>
          <w:iCs/>
          <w:sz w:val="20"/>
          <w:szCs w:val="20"/>
          <w:cs/>
          <w:lang w:val="th-TH" w:bidi="th-TH"/>
        </w:rPr>
        <w:t>H. erioche</w:t>
      </w:r>
      <w:r w:rsidR="008D5BC4" w:rsidRPr="00FB3075">
        <w:rPr>
          <w:rFonts w:ascii="Arial" w:hAnsi="Arial" w:cs="Arial"/>
          <w:i/>
          <w:iCs/>
          <w:sz w:val="20"/>
          <w:szCs w:val="20"/>
          <w:cs/>
          <w:lang w:val="th-TH" w:bidi="th-TH"/>
        </w:rPr>
        <w:t>i</w:t>
      </w:r>
      <w:r w:rsidRPr="00FB3075">
        <w:rPr>
          <w:rFonts w:ascii="Arial" w:hAnsi="Arial" w:cs="Arial"/>
          <w:i/>
          <w:iCs/>
          <w:sz w:val="20"/>
          <w:szCs w:val="20"/>
          <w:cs/>
          <w:lang w:val="th-TH" w:bidi="th-TH"/>
        </w:rPr>
        <w:t xml:space="preserve">r </w:t>
      </w:r>
      <w:r w:rsidRPr="00FB3075">
        <w:rPr>
          <w:rFonts w:ascii="Arial" w:hAnsi="Arial" w:cs="Arial"/>
          <w:sz w:val="20"/>
          <w:szCs w:val="20"/>
          <w:cs/>
          <w:lang w:val="th-TH" w:bidi="th-TH"/>
        </w:rPr>
        <w:t xml:space="preserve">and </w:t>
      </w:r>
      <w:r w:rsidRPr="00FB3075">
        <w:rPr>
          <w:rFonts w:ascii="Arial" w:hAnsi="Arial" w:cs="Arial"/>
          <w:i/>
          <w:iCs/>
          <w:sz w:val="20"/>
          <w:szCs w:val="20"/>
          <w:cs/>
          <w:lang w:val="th-TH" w:bidi="th-TH"/>
        </w:rPr>
        <w:t>E. canceri</w:t>
      </w:r>
      <w:r w:rsidR="008F55B2">
        <w:rPr>
          <w:rFonts w:ascii="Arial" w:hAnsi="Arial" w:cs="Arial"/>
          <w:i/>
          <w:iCs/>
          <w:sz w:val="20"/>
          <w:szCs w:val="20"/>
          <w:cs/>
          <w:lang w:bidi="th-TH"/>
        </w:rPr>
        <w:t xml:space="preserve">. </w:t>
      </w:r>
      <w:r w:rsidR="00C40E32" w:rsidRPr="00FB3075">
        <w:rPr>
          <w:rFonts w:ascii="Arial" w:hAnsi="Arial" w:cs="Arial"/>
          <w:sz w:val="20"/>
          <w:szCs w:val="20"/>
          <w:cs/>
          <w:lang w:val="th-TH" w:bidi="th-TH"/>
        </w:rPr>
        <w:t>In addition, the SWP</w:t>
      </w:r>
      <w:r w:rsidR="00A626D4">
        <w:rPr>
          <w:rFonts w:ascii="Arial" w:hAnsi="Arial" w:cs="Arial"/>
          <w:sz w:val="20"/>
          <w:szCs w:val="20"/>
          <w:lang w:bidi="th-TH"/>
        </w:rPr>
        <w:t>-PCR method had</w:t>
      </w:r>
      <w:r w:rsidR="00C40E32" w:rsidRPr="00FB3075">
        <w:rPr>
          <w:rFonts w:ascii="Arial" w:hAnsi="Arial" w:cs="Arial"/>
          <w:sz w:val="20"/>
          <w:szCs w:val="20"/>
          <w:cs/>
          <w:lang w:val="th-TH" w:bidi="th-TH"/>
        </w:rPr>
        <w:t xml:space="preserve"> greater sensitivity</w:t>
      </w:r>
      <w:r w:rsidR="00A626D4">
        <w:rPr>
          <w:rFonts w:ascii="Arial" w:hAnsi="Arial" w:cs="Arial"/>
          <w:sz w:val="20"/>
          <w:szCs w:val="20"/>
          <w:lang w:bidi="th-TH"/>
        </w:rPr>
        <w:t xml:space="preserve"> than the SSU-PCR method with</w:t>
      </w:r>
      <w:r w:rsidR="00C40E32" w:rsidRPr="00FB3075">
        <w:rPr>
          <w:rFonts w:ascii="Arial" w:hAnsi="Arial" w:cs="Arial"/>
          <w:sz w:val="20"/>
          <w:szCs w:val="20"/>
          <w:cs/>
          <w:lang w:val="th-TH" w:bidi="th-TH"/>
        </w:rPr>
        <w:t xml:space="preserve"> total DNA extracted from EHP-infected shrimp. </w:t>
      </w:r>
      <w:r w:rsidR="005A7F53">
        <w:rPr>
          <w:rFonts w:ascii="Arial" w:hAnsi="Arial" w:cs="Arial"/>
          <w:sz w:val="20"/>
          <w:szCs w:val="20"/>
          <w:cs/>
          <w:lang w:val="th-TH" w:bidi="th-TH"/>
        </w:rPr>
        <w:t xml:space="preserve">For more detail please see an upcoming </w:t>
      </w:r>
      <w:bookmarkStart w:id="0" w:name="_GoBack"/>
      <w:bookmarkEnd w:id="0"/>
      <w:r w:rsidR="005A7F53">
        <w:rPr>
          <w:rFonts w:ascii="Arial" w:hAnsi="Arial" w:cs="Arial"/>
          <w:sz w:val="20"/>
          <w:szCs w:val="20"/>
          <w:cs/>
          <w:lang w:val="th-TH" w:bidi="th-TH"/>
        </w:rPr>
        <w:t xml:space="preserve">article by </w:t>
      </w:r>
      <w:proofErr w:type="spellStart"/>
      <w:r w:rsidR="005A7F53" w:rsidRPr="00C068A8">
        <w:rPr>
          <w:rFonts w:ascii="Arial" w:hAnsi="Arial" w:cs="Arial"/>
          <w:sz w:val="20"/>
          <w:szCs w:val="32"/>
        </w:rPr>
        <w:t>Jaroenlak</w:t>
      </w:r>
      <w:proofErr w:type="spellEnd"/>
      <w:r w:rsidR="005A7F53">
        <w:rPr>
          <w:rFonts w:ascii="Arial" w:hAnsi="Arial" w:cs="Arial"/>
          <w:sz w:val="20"/>
          <w:szCs w:val="32"/>
        </w:rPr>
        <w:t xml:space="preserve"> et al. (</w:t>
      </w:r>
      <w:proofErr w:type="gramStart"/>
      <w:r w:rsidR="005A7F53">
        <w:rPr>
          <w:rFonts w:ascii="Arial" w:hAnsi="Arial" w:cs="Arial"/>
          <w:sz w:val="20"/>
          <w:szCs w:val="32"/>
        </w:rPr>
        <w:t>preparing</w:t>
      </w:r>
      <w:proofErr w:type="gramEnd"/>
      <w:r w:rsidR="005A7F53">
        <w:rPr>
          <w:rFonts w:ascii="Arial" w:hAnsi="Arial" w:cs="Arial"/>
          <w:sz w:val="20"/>
          <w:szCs w:val="32"/>
        </w:rPr>
        <w:t>)</w:t>
      </w:r>
    </w:p>
    <w:p w14:paraId="19083106" w14:textId="77777777" w:rsidR="00C40E32" w:rsidRDefault="00C40E32" w:rsidP="0039130F">
      <w:pPr>
        <w:shd w:val="clear" w:color="auto" w:fill="FFFFFF"/>
        <w:spacing w:line="252" w:lineRule="atLeast"/>
        <w:jc w:val="both"/>
        <w:rPr>
          <w:rFonts w:ascii="Arial" w:hAnsi="Arial" w:cs="Arial"/>
          <w:sz w:val="20"/>
          <w:szCs w:val="20"/>
          <w:lang w:bidi="th-TH"/>
        </w:rPr>
      </w:pPr>
    </w:p>
    <w:p w14:paraId="6A4D8453" w14:textId="77777777" w:rsidR="00FA576A" w:rsidRPr="00FB3075" w:rsidRDefault="00C40E32" w:rsidP="0039130F">
      <w:pPr>
        <w:shd w:val="clear" w:color="auto" w:fill="FFFFFF"/>
        <w:spacing w:line="252" w:lineRule="atLeast"/>
        <w:jc w:val="both"/>
        <w:rPr>
          <w:rFonts w:ascii="Arial" w:hAnsi="Arial" w:cs="Arial"/>
          <w:sz w:val="20"/>
          <w:szCs w:val="20"/>
          <w:cs/>
          <w:lang w:val="th-TH" w:bidi="th-TH"/>
        </w:rPr>
      </w:pPr>
      <w:r w:rsidRPr="00FB3075">
        <w:rPr>
          <w:rFonts w:ascii="Arial" w:hAnsi="Arial" w:cs="Arial"/>
          <w:sz w:val="20"/>
          <w:szCs w:val="20"/>
          <w:cs/>
          <w:lang w:val="th-TH" w:bidi="th-TH"/>
        </w:rPr>
        <w:t>From these results, we recommend that</w:t>
      </w:r>
      <w:r w:rsidR="00A626D4">
        <w:rPr>
          <w:rFonts w:ascii="Arial" w:hAnsi="Arial" w:cs="Arial"/>
          <w:sz w:val="20"/>
          <w:szCs w:val="20"/>
          <w:lang w:bidi="th-TH"/>
        </w:rPr>
        <w:t xml:space="preserve"> </w:t>
      </w:r>
      <w:r w:rsidR="00636865">
        <w:rPr>
          <w:rFonts w:ascii="Arial" w:hAnsi="Arial" w:cs="Arial"/>
          <w:sz w:val="20"/>
          <w:szCs w:val="20"/>
          <w:lang w:bidi="th-TH"/>
        </w:rPr>
        <w:t>the</w:t>
      </w:r>
      <w:r w:rsidR="00A626D4">
        <w:rPr>
          <w:rFonts w:ascii="Arial" w:hAnsi="Arial" w:cs="Arial"/>
          <w:sz w:val="20"/>
          <w:szCs w:val="20"/>
          <w:lang w:bidi="th-TH"/>
        </w:rPr>
        <w:t xml:space="preserve"> new SWP-PCR method replace </w:t>
      </w:r>
      <w:r w:rsidR="00636865">
        <w:rPr>
          <w:rFonts w:ascii="Arial" w:hAnsi="Arial" w:cs="Arial"/>
          <w:sz w:val="20"/>
          <w:szCs w:val="20"/>
          <w:lang w:bidi="th-TH"/>
        </w:rPr>
        <w:t>the</w:t>
      </w:r>
      <w:r w:rsidRPr="00FB3075">
        <w:rPr>
          <w:rFonts w:ascii="Arial" w:hAnsi="Arial" w:cs="Arial"/>
          <w:sz w:val="20"/>
          <w:szCs w:val="20"/>
          <w:cs/>
          <w:lang w:val="th-TH" w:bidi="th-TH"/>
        </w:rPr>
        <w:t xml:space="preserve"> first generation SSU-</w:t>
      </w:r>
      <w:r w:rsidR="00A626D4">
        <w:rPr>
          <w:rFonts w:ascii="Arial" w:hAnsi="Arial" w:cs="Arial"/>
          <w:sz w:val="20"/>
          <w:szCs w:val="20"/>
          <w:lang w:bidi="th-TH"/>
        </w:rPr>
        <w:t>PCR method</w:t>
      </w:r>
      <w:r w:rsidR="00214C7E" w:rsidRPr="00FB3075">
        <w:rPr>
          <w:rFonts w:ascii="Arial" w:hAnsi="Arial" w:cs="Arial"/>
          <w:sz w:val="20"/>
          <w:szCs w:val="20"/>
          <w:cs/>
          <w:lang w:val="th-TH" w:bidi="th-TH"/>
        </w:rPr>
        <w:t xml:space="preserve">. </w:t>
      </w:r>
      <w:r w:rsidR="00A626D4">
        <w:rPr>
          <w:rFonts w:ascii="Arial" w:hAnsi="Arial" w:cs="Arial"/>
          <w:sz w:val="20"/>
          <w:szCs w:val="20"/>
          <w:lang w:bidi="th-TH"/>
        </w:rPr>
        <w:t xml:space="preserve">However, this does not mean that results previously obtained by the SSU-PCR method are invalid if they have been obtained from cultivated shrimp, since there is no data to indicate that they </w:t>
      </w:r>
      <w:r w:rsidR="00636865">
        <w:rPr>
          <w:rFonts w:ascii="Arial" w:hAnsi="Arial" w:cs="Arial"/>
          <w:sz w:val="20"/>
          <w:szCs w:val="20"/>
          <w:lang w:bidi="th-TH"/>
        </w:rPr>
        <w:t>develop</w:t>
      </w:r>
      <w:r w:rsidR="00A626D4">
        <w:rPr>
          <w:rFonts w:ascii="Arial" w:hAnsi="Arial" w:cs="Arial"/>
          <w:sz w:val="20"/>
          <w:szCs w:val="20"/>
          <w:lang w:bidi="th-TH"/>
        </w:rPr>
        <w:t xml:space="preserve"> HP infections caused by </w:t>
      </w:r>
      <w:proofErr w:type="spellStart"/>
      <w:r w:rsidR="00A626D4">
        <w:rPr>
          <w:rFonts w:ascii="Arial" w:hAnsi="Arial" w:cs="Arial"/>
          <w:sz w:val="20"/>
          <w:szCs w:val="20"/>
          <w:lang w:bidi="th-TH"/>
        </w:rPr>
        <w:t>microsporidians</w:t>
      </w:r>
      <w:proofErr w:type="spellEnd"/>
      <w:r w:rsidR="00A626D4">
        <w:rPr>
          <w:rFonts w:ascii="Arial" w:hAnsi="Arial" w:cs="Arial"/>
          <w:sz w:val="20"/>
          <w:szCs w:val="20"/>
          <w:lang w:bidi="th-TH"/>
        </w:rPr>
        <w:t xml:space="preserve"> other than EHP. However, tests</w:t>
      </w:r>
      <w:r w:rsidR="00636865">
        <w:rPr>
          <w:rFonts w:ascii="Arial" w:hAnsi="Arial" w:cs="Arial"/>
          <w:sz w:val="20"/>
          <w:szCs w:val="20"/>
          <w:lang w:bidi="th-TH"/>
        </w:rPr>
        <w:t xml:space="preserve"> that have previously given positive results for EHP </w:t>
      </w:r>
      <w:r w:rsidR="00A626D4">
        <w:rPr>
          <w:rFonts w:ascii="Arial" w:hAnsi="Arial" w:cs="Arial"/>
          <w:sz w:val="20"/>
          <w:szCs w:val="20"/>
          <w:lang w:bidi="th-TH"/>
        </w:rPr>
        <w:t xml:space="preserve">using environmental samples </w:t>
      </w:r>
      <w:r w:rsidR="00636865">
        <w:rPr>
          <w:rFonts w:ascii="Arial" w:hAnsi="Arial" w:cs="Arial"/>
          <w:sz w:val="20"/>
          <w:szCs w:val="20"/>
          <w:lang w:bidi="th-TH"/>
        </w:rPr>
        <w:t>such as</w:t>
      </w:r>
      <w:r w:rsidR="00A626D4">
        <w:rPr>
          <w:rFonts w:ascii="Arial" w:hAnsi="Arial" w:cs="Arial"/>
          <w:sz w:val="20"/>
          <w:szCs w:val="20"/>
          <w:lang w:bidi="th-TH"/>
        </w:rPr>
        <w:t xml:space="preserve"> water, </w:t>
      </w:r>
      <w:r w:rsidR="00636865">
        <w:rPr>
          <w:rFonts w:ascii="Arial" w:hAnsi="Arial" w:cs="Arial"/>
          <w:sz w:val="20"/>
          <w:szCs w:val="20"/>
          <w:lang w:bidi="th-TH"/>
        </w:rPr>
        <w:t xml:space="preserve">feeds, </w:t>
      </w:r>
      <w:r w:rsidR="00A626D4">
        <w:rPr>
          <w:rFonts w:ascii="Arial" w:hAnsi="Arial" w:cs="Arial"/>
          <w:sz w:val="20"/>
          <w:szCs w:val="20"/>
          <w:lang w:bidi="th-TH"/>
        </w:rPr>
        <w:t>sediments, suspected carriers, etc.</w:t>
      </w:r>
      <w:r w:rsidR="00214C7E" w:rsidRPr="00FB3075">
        <w:rPr>
          <w:rFonts w:ascii="Arial" w:hAnsi="Arial" w:cs="Arial"/>
          <w:sz w:val="20"/>
          <w:szCs w:val="20"/>
          <w:cs/>
          <w:lang w:val="th-TH" w:bidi="th-TH"/>
        </w:rPr>
        <w:t xml:space="preserve"> </w:t>
      </w:r>
      <w:r w:rsidR="00A626D4">
        <w:rPr>
          <w:rFonts w:ascii="Arial" w:hAnsi="Arial" w:cs="Arial"/>
          <w:sz w:val="20"/>
          <w:szCs w:val="20"/>
          <w:lang w:bidi="th-TH"/>
        </w:rPr>
        <w:t xml:space="preserve">should be </w:t>
      </w:r>
      <w:r w:rsidR="00636865">
        <w:rPr>
          <w:rFonts w:ascii="Arial" w:hAnsi="Arial" w:cs="Arial"/>
          <w:sz w:val="20"/>
          <w:szCs w:val="20"/>
          <w:lang w:bidi="th-TH"/>
        </w:rPr>
        <w:t>re-</w:t>
      </w:r>
      <w:r w:rsidR="00A626D4">
        <w:rPr>
          <w:rFonts w:ascii="Arial" w:hAnsi="Arial" w:cs="Arial"/>
          <w:sz w:val="20"/>
          <w:szCs w:val="20"/>
          <w:lang w:bidi="th-TH"/>
        </w:rPr>
        <w:t>confirmed using the SWP-PCR method.</w:t>
      </w:r>
      <w:r w:rsidR="00214C7E" w:rsidRPr="00FB3075">
        <w:rPr>
          <w:rFonts w:ascii="Arial" w:hAnsi="Arial" w:cs="Arial"/>
          <w:sz w:val="20"/>
          <w:szCs w:val="20"/>
          <w:cs/>
          <w:lang w:val="th-TH" w:bidi="th-TH"/>
        </w:rPr>
        <w:t xml:space="preserve"> </w:t>
      </w:r>
    </w:p>
    <w:p w14:paraId="3ADA597E" w14:textId="77777777" w:rsidR="00FA576A" w:rsidRPr="00FB3075" w:rsidRDefault="00FA576A" w:rsidP="0039130F">
      <w:pPr>
        <w:shd w:val="clear" w:color="auto" w:fill="FFFFFF"/>
        <w:spacing w:line="252" w:lineRule="atLeast"/>
        <w:jc w:val="both"/>
        <w:rPr>
          <w:rFonts w:ascii="Arial" w:hAnsi="Arial" w:cs="Arial"/>
          <w:sz w:val="20"/>
          <w:szCs w:val="20"/>
          <w:cs/>
          <w:lang w:val="th-TH" w:bidi="th-TH"/>
        </w:rPr>
      </w:pPr>
    </w:p>
    <w:p w14:paraId="65A7FB7B" w14:textId="34AB2E13" w:rsidR="00342395" w:rsidRDefault="00214C7E" w:rsidP="0039130F">
      <w:pPr>
        <w:shd w:val="clear" w:color="auto" w:fill="FFFFFF"/>
        <w:spacing w:line="252" w:lineRule="atLeast"/>
        <w:jc w:val="both"/>
        <w:rPr>
          <w:rFonts w:ascii="Arial" w:hAnsi="Arial" w:cs="Arial"/>
          <w:sz w:val="20"/>
          <w:szCs w:val="20"/>
          <w:cs/>
          <w:lang w:val="th-TH" w:bidi="th-TH"/>
        </w:rPr>
      </w:pPr>
      <w:r w:rsidRPr="00FB3075">
        <w:rPr>
          <w:rFonts w:ascii="Arial" w:hAnsi="Arial" w:cs="Arial"/>
          <w:sz w:val="20"/>
          <w:szCs w:val="20"/>
          <w:cs/>
          <w:lang w:val="th-TH" w:bidi="th-TH"/>
        </w:rPr>
        <w:t>The sequence</w:t>
      </w:r>
      <w:r w:rsidR="00636865">
        <w:rPr>
          <w:rFonts w:ascii="Arial" w:hAnsi="Arial" w:cs="Arial"/>
          <w:sz w:val="20"/>
          <w:szCs w:val="20"/>
          <w:lang w:bidi="th-TH"/>
        </w:rPr>
        <w:t>s</w:t>
      </w:r>
      <w:r w:rsidRPr="00FB3075">
        <w:rPr>
          <w:rFonts w:ascii="Arial" w:hAnsi="Arial" w:cs="Arial"/>
          <w:sz w:val="20"/>
          <w:szCs w:val="20"/>
          <w:cs/>
          <w:lang w:val="th-TH" w:bidi="th-TH"/>
        </w:rPr>
        <w:t xml:space="preserve"> of the </w:t>
      </w:r>
      <w:r w:rsidR="00636865">
        <w:rPr>
          <w:rFonts w:ascii="Arial" w:hAnsi="Arial" w:cs="Arial"/>
          <w:sz w:val="20"/>
          <w:szCs w:val="20"/>
          <w:cs/>
          <w:lang w:val="th-TH" w:bidi="th-TH"/>
        </w:rPr>
        <w:t xml:space="preserve">primers </w:t>
      </w:r>
      <w:r w:rsidR="00636865">
        <w:rPr>
          <w:rFonts w:ascii="Arial" w:hAnsi="Arial" w:cs="Arial"/>
          <w:sz w:val="20"/>
          <w:szCs w:val="20"/>
          <w:lang w:bidi="th-TH"/>
        </w:rPr>
        <w:t>for</w:t>
      </w:r>
      <w:r w:rsidR="00DA4B23">
        <w:rPr>
          <w:rFonts w:ascii="Arial" w:hAnsi="Arial" w:cs="Arial"/>
          <w:sz w:val="20"/>
          <w:szCs w:val="20"/>
          <w:cs/>
          <w:lang w:val="th-TH" w:bidi="th-TH"/>
        </w:rPr>
        <w:t xml:space="preserve"> the SWP</w:t>
      </w:r>
      <w:r w:rsidR="00636865">
        <w:rPr>
          <w:rFonts w:ascii="Arial" w:hAnsi="Arial" w:cs="Arial"/>
          <w:sz w:val="20"/>
          <w:szCs w:val="20"/>
          <w:lang w:bidi="th-TH"/>
        </w:rPr>
        <w:t>-PCR</w:t>
      </w:r>
      <w:r w:rsidRPr="00FB3075">
        <w:rPr>
          <w:rFonts w:ascii="Arial" w:hAnsi="Arial" w:cs="Arial"/>
          <w:sz w:val="20"/>
          <w:szCs w:val="20"/>
          <w:cs/>
          <w:lang w:val="th-TH" w:bidi="th-TH"/>
        </w:rPr>
        <w:t xml:space="preserve"> </w:t>
      </w:r>
      <w:r w:rsidR="00636865">
        <w:rPr>
          <w:rFonts w:ascii="Arial" w:hAnsi="Arial" w:cs="Arial"/>
          <w:sz w:val="20"/>
          <w:szCs w:val="20"/>
          <w:lang w:bidi="th-TH"/>
        </w:rPr>
        <w:t>method (</w:t>
      </w:r>
      <w:r w:rsidR="00636865" w:rsidRPr="00FB3075">
        <w:rPr>
          <w:rFonts w:ascii="Arial" w:hAnsi="Arial" w:cs="Arial"/>
          <w:sz w:val="20"/>
          <w:szCs w:val="20"/>
          <w:cs/>
          <w:lang w:val="th-TH" w:bidi="th-TH"/>
        </w:rPr>
        <w:t>nested</w:t>
      </w:r>
      <w:r w:rsidR="00636865">
        <w:rPr>
          <w:rFonts w:ascii="Arial" w:hAnsi="Arial" w:cs="Arial"/>
          <w:sz w:val="20"/>
          <w:szCs w:val="20"/>
          <w:lang w:bidi="th-TH"/>
        </w:rPr>
        <w:t xml:space="preserve"> PCR) </w:t>
      </w:r>
      <w:r w:rsidR="00FA576A" w:rsidRPr="00FB3075">
        <w:rPr>
          <w:rFonts w:ascii="Arial" w:hAnsi="Arial" w:cs="Arial"/>
          <w:sz w:val="20"/>
          <w:szCs w:val="20"/>
          <w:cs/>
          <w:lang w:val="th-TH" w:bidi="th-TH"/>
        </w:rPr>
        <w:t>are given below</w:t>
      </w:r>
      <w:r w:rsidR="00636865">
        <w:rPr>
          <w:rFonts w:ascii="Arial" w:hAnsi="Arial" w:cs="Arial"/>
          <w:sz w:val="20"/>
          <w:szCs w:val="20"/>
          <w:lang w:bidi="th-TH"/>
        </w:rPr>
        <w:t xml:space="preserve"> and can be used freely</w:t>
      </w:r>
      <w:r w:rsidR="00FA576A" w:rsidRPr="00FB3075">
        <w:rPr>
          <w:rFonts w:ascii="Arial" w:hAnsi="Arial" w:cs="Arial"/>
          <w:sz w:val="20"/>
          <w:szCs w:val="20"/>
          <w:cs/>
          <w:lang w:val="th-TH" w:bidi="th-TH"/>
        </w:rPr>
        <w:t xml:space="preserve"> for non-commercial application</w:t>
      </w:r>
      <w:r w:rsidR="0076660B">
        <w:rPr>
          <w:rFonts w:ascii="Arial" w:hAnsi="Arial" w:cs="Arial"/>
          <w:sz w:val="20"/>
          <w:szCs w:val="20"/>
          <w:cs/>
          <w:lang w:val="th-TH" w:bidi="th-TH"/>
        </w:rPr>
        <w:t>s</w:t>
      </w:r>
      <w:r w:rsidR="00636865">
        <w:rPr>
          <w:rFonts w:ascii="Arial" w:hAnsi="Arial" w:cs="Arial"/>
          <w:sz w:val="20"/>
          <w:szCs w:val="20"/>
          <w:cs/>
          <w:lang w:val="th-TH" w:bidi="th-TH"/>
        </w:rPr>
        <w:t xml:space="preserve"> </w:t>
      </w:r>
      <w:r w:rsidR="00636865">
        <w:rPr>
          <w:rFonts w:ascii="Arial" w:hAnsi="Arial" w:cs="Arial"/>
          <w:sz w:val="20"/>
          <w:szCs w:val="20"/>
          <w:lang w:bidi="th-TH"/>
        </w:rPr>
        <w:t>to</w:t>
      </w:r>
      <w:r w:rsidR="00FA576A" w:rsidRPr="00FB3075">
        <w:rPr>
          <w:rFonts w:ascii="Arial" w:hAnsi="Arial" w:cs="Arial"/>
          <w:sz w:val="20"/>
          <w:szCs w:val="20"/>
          <w:cs/>
          <w:lang w:val="th-TH" w:bidi="th-TH"/>
        </w:rPr>
        <w:t xml:space="preserve"> detecting EHP. </w:t>
      </w:r>
      <w:r w:rsidR="00372F52" w:rsidRPr="00FB3075">
        <w:rPr>
          <w:rFonts w:ascii="Arial" w:hAnsi="Arial" w:cs="Arial"/>
          <w:sz w:val="20"/>
          <w:szCs w:val="20"/>
          <w:cs/>
          <w:lang w:val="th-TH" w:bidi="th-TH"/>
        </w:rPr>
        <w:t xml:space="preserve">Please contact Centex Shrimp (ornchuma.its@mahidol.ac.th) to obtain a </w:t>
      </w:r>
      <w:r w:rsidR="00A3467E">
        <w:rPr>
          <w:rFonts w:ascii="Arial" w:hAnsi="Arial" w:cs="Arial"/>
          <w:sz w:val="20"/>
          <w:szCs w:val="20"/>
          <w:lang w:bidi="th-TH"/>
        </w:rPr>
        <w:t xml:space="preserve">free </w:t>
      </w:r>
      <w:r w:rsidR="00372F52" w:rsidRPr="00FB3075">
        <w:rPr>
          <w:rFonts w:ascii="Arial" w:hAnsi="Arial" w:cs="Arial"/>
          <w:sz w:val="20"/>
          <w:szCs w:val="20"/>
          <w:cs/>
          <w:lang w:val="th-TH" w:bidi="th-TH"/>
        </w:rPr>
        <w:t xml:space="preserve">positive control plasmid (pGEM-EHPSWP). </w:t>
      </w:r>
      <w:r w:rsidR="006A43A8" w:rsidRPr="00FB3075">
        <w:rPr>
          <w:rFonts w:ascii="Arial" w:hAnsi="Arial" w:cs="Arial"/>
          <w:sz w:val="20"/>
          <w:szCs w:val="20"/>
          <w:cs/>
          <w:lang w:val="th-TH" w:bidi="th-TH"/>
        </w:rPr>
        <w:t>Similar to other nested PCR methods for diagnosi</w:t>
      </w:r>
      <w:r w:rsidR="0076660B">
        <w:rPr>
          <w:rFonts w:ascii="Arial" w:hAnsi="Arial" w:cs="Arial"/>
          <w:sz w:val="20"/>
          <w:szCs w:val="20"/>
          <w:cs/>
          <w:lang w:val="th-TH" w:bidi="th-TH"/>
        </w:rPr>
        <w:t>ng</w:t>
      </w:r>
      <w:r w:rsidR="006A43A8" w:rsidRPr="00FB3075">
        <w:rPr>
          <w:rFonts w:ascii="Arial" w:hAnsi="Arial" w:cs="Arial"/>
          <w:sz w:val="20"/>
          <w:szCs w:val="20"/>
          <w:cs/>
          <w:lang w:val="th-TH" w:bidi="th-TH"/>
        </w:rPr>
        <w:t xml:space="preserve"> shrimp pathogens, the presence of </w:t>
      </w:r>
      <w:r w:rsidR="00822ECF">
        <w:rPr>
          <w:rFonts w:ascii="Arial" w:hAnsi="Arial" w:cs="Arial"/>
          <w:sz w:val="20"/>
          <w:szCs w:val="20"/>
          <w:cs/>
          <w:lang w:val="th-TH" w:bidi="th-TH"/>
        </w:rPr>
        <w:t>the</w:t>
      </w:r>
      <w:r w:rsidR="008D5BC4" w:rsidRPr="00FB3075">
        <w:rPr>
          <w:rFonts w:ascii="Arial" w:hAnsi="Arial" w:cs="Arial"/>
          <w:sz w:val="20"/>
          <w:szCs w:val="20"/>
          <w:cs/>
          <w:lang w:val="th-TH" w:bidi="th-TH"/>
        </w:rPr>
        <w:t xml:space="preserve"> 514-bp amplicon after the first PCR </w:t>
      </w:r>
      <w:r w:rsidR="00636865">
        <w:rPr>
          <w:rFonts w:ascii="Arial" w:hAnsi="Arial" w:cs="Arial"/>
          <w:sz w:val="20"/>
          <w:szCs w:val="20"/>
          <w:lang w:bidi="th-TH"/>
        </w:rPr>
        <w:t>indicates a</w:t>
      </w:r>
      <w:r w:rsidR="008D5BC4" w:rsidRPr="00FB3075">
        <w:rPr>
          <w:rFonts w:ascii="Arial" w:hAnsi="Arial" w:cs="Arial"/>
          <w:sz w:val="20"/>
          <w:szCs w:val="20"/>
          <w:cs/>
          <w:lang w:val="th-TH" w:bidi="th-TH"/>
        </w:rPr>
        <w:t xml:space="preserve"> heavy infection</w:t>
      </w:r>
      <w:r w:rsidR="00636865">
        <w:rPr>
          <w:rFonts w:ascii="Arial" w:hAnsi="Arial" w:cs="Arial"/>
          <w:sz w:val="20"/>
          <w:szCs w:val="20"/>
          <w:lang w:bidi="th-TH"/>
        </w:rPr>
        <w:t xml:space="preserve">, while </w:t>
      </w:r>
      <w:r w:rsidR="00636865">
        <w:rPr>
          <w:rFonts w:ascii="Arial" w:hAnsi="Arial" w:cs="Arial"/>
          <w:sz w:val="20"/>
          <w:szCs w:val="20"/>
          <w:cs/>
          <w:lang w:val="th-TH" w:bidi="th-TH"/>
        </w:rPr>
        <w:t xml:space="preserve">presence of only </w:t>
      </w:r>
      <w:r w:rsidR="00636865">
        <w:rPr>
          <w:rFonts w:ascii="Arial" w:hAnsi="Arial" w:cs="Arial"/>
          <w:sz w:val="20"/>
          <w:szCs w:val="20"/>
          <w:lang w:bidi="th-TH"/>
        </w:rPr>
        <w:t>the</w:t>
      </w:r>
      <w:r w:rsidR="008D5BC4" w:rsidRPr="00FB3075">
        <w:rPr>
          <w:rFonts w:ascii="Arial" w:hAnsi="Arial" w:cs="Arial"/>
          <w:sz w:val="20"/>
          <w:szCs w:val="20"/>
          <w:cs/>
          <w:lang w:val="th-TH" w:bidi="th-TH"/>
        </w:rPr>
        <w:t xml:space="preserve"> smaller 148-bp </w:t>
      </w:r>
      <w:r w:rsidR="00636865">
        <w:rPr>
          <w:rFonts w:ascii="Arial" w:hAnsi="Arial" w:cs="Arial"/>
          <w:sz w:val="20"/>
          <w:szCs w:val="20"/>
          <w:lang w:bidi="th-TH"/>
        </w:rPr>
        <w:t xml:space="preserve">nested </w:t>
      </w:r>
      <w:r w:rsidR="008D5BC4" w:rsidRPr="00FB3075">
        <w:rPr>
          <w:rFonts w:ascii="Arial" w:hAnsi="Arial" w:cs="Arial"/>
          <w:sz w:val="20"/>
          <w:szCs w:val="20"/>
          <w:cs/>
          <w:lang w:val="th-TH" w:bidi="th-TH"/>
        </w:rPr>
        <w:t xml:space="preserve">amplicon </w:t>
      </w:r>
      <w:r w:rsidR="00636865">
        <w:rPr>
          <w:rFonts w:ascii="Arial" w:hAnsi="Arial" w:cs="Arial"/>
          <w:sz w:val="20"/>
          <w:szCs w:val="20"/>
          <w:lang w:bidi="th-TH"/>
        </w:rPr>
        <w:t>indicates a</w:t>
      </w:r>
      <w:r w:rsidR="008D5BC4" w:rsidRPr="00FB3075">
        <w:rPr>
          <w:rFonts w:ascii="Arial" w:hAnsi="Arial" w:cs="Arial"/>
          <w:sz w:val="20"/>
          <w:szCs w:val="20"/>
          <w:cs/>
          <w:lang w:val="th-TH" w:bidi="th-TH"/>
        </w:rPr>
        <w:t xml:space="preserve"> light infection. We recommend that approximately 100 ng of total shrimp DNA be used in each assay</w:t>
      </w:r>
      <w:r w:rsidR="00372F52" w:rsidRPr="00FB3075">
        <w:rPr>
          <w:rFonts w:ascii="Arial" w:hAnsi="Arial" w:cs="Arial"/>
          <w:sz w:val="20"/>
          <w:szCs w:val="20"/>
          <w:cs/>
          <w:lang w:val="th-TH" w:bidi="th-TH"/>
        </w:rPr>
        <w:t>.</w:t>
      </w:r>
    </w:p>
    <w:p w14:paraId="7807AFAC" w14:textId="4B869B97" w:rsidR="00E859E7" w:rsidRPr="00FB3075" w:rsidRDefault="00E859E7" w:rsidP="00E859E7">
      <w:pPr>
        <w:shd w:val="clear" w:color="auto" w:fill="FFFFFF"/>
        <w:spacing w:line="252" w:lineRule="atLeast"/>
        <w:jc w:val="center"/>
        <w:rPr>
          <w:rFonts w:ascii="Arial" w:hAnsi="Arial" w:cs="Arial"/>
          <w:sz w:val="20"/>
          <w:szCs w:val="20"/>
          <w:cs/>
          <w:lang w:val="th-TH" w:bidi="th-TH"/>
        </w:rPr>
      </w:pPr>
    </w:p>
    <w:p w14:paraId="5392D625" w14:textId="77777777" w:rsidR="00F25C09" w:rsidRDefault="00F25C09" w:rsidP="0039130F">
      <w:pPr>
        <w:shd w:val="clear" w:color="auto" w:fill="FFFFFF"/>
        <w:spacing w:line="252" w:lineRule="atLeast"/>
        <w:jc w:val="both"/>
        <w:rPr>
          <w:rFonts w:ascii="Arial" w:hAnsi="Arial" w:cs="Arial"/>
          <w:b/>
          <w:bCs/>
          <w:sz w:val="22"/>
          <w:szCs w:val="22"/>
          <w:u w:val="single"/>
          <w:cs/>
          <w:lang w:val="th-TH" w:bidi="th-TH"/>
        </w:rPr>
      </w:pPr>
    </w:p>
    <w:p w14:paraId="379FDBFA" w14:textId="77777777" w:rsidR="00372F52" w:rsidRPr="00FB3075" w:rsidRDefault="00372F52" w:rsidP="0039130F">
      <w:pPr>
        <w:shd w:val="clear" w:color="auto" w:fill="FFFFFF"/>
        <w:spacing w:line="252" w:lineRule="atLeast"/>
        <w:jc w:val="both"/>
        <w:rPr>
          <w:rFonts w:ascii="Arial" w:hAnsi="Arial" w:cs="Arial"/>
          <w:b/>
          <w:bCs/>
          <w:sz w:val="22"/>
          <w:szCs w:val="22"/>
          <w:u w:val="single"/>
          <w:cs/>
          <w:lang w:val="th-TH" w:bidi="th-TH"/>
        </w:rPr>
      </w:pPr>
      <w:r w:rsidRPr="00FB3075">
        <w:rPr>
          <w:rFonts w:ascii="Arial" w:hAnsi="Arial" w:cs="Arial"/>
          <w:b/>
          <w:bCs/>
          <w:sz w:val="22"/>
          <w:szCs w:val="22"/>
          <w:u w:val="single"/>
          <w:cs/>
          <w:lang w:val="th-TH" w:bidi="th-TH"/>
        </w:rPr>
        <w:t xml:space="preserve">Detailed PCR </w:t>
      </w:r>
      <w:r w:rsidR="00636865">
        <w:rPr>
          <w:rFonts w:ascii="Arial" w:hAnsi="Arial" w:cs="Arial"/>
          <w:b/>
          <w:bCs/>
          <w:sz w:val="22"/>
          <w:szCs w:val="22"/>
          <w:u w:val="single"/>
          <w:lang w:bidi="th-TH"/>
        </w:rPr>
        <w:t>protocol</w:t>
      </w:r>
    </w:p>
    <w:p w14:paraId="0AC6DD91" w14:textId="77777777" w:rsidR="00FB3075" w:rsidRPr="00FB3075" w:rsidRDefault="00FB3075" w:rsidP="0039130F">
      <w:pPr>
        <w:shd w:val="clear" w:color="auto" w:fill="FFFFFF"/>
        <w:spacing w:line="252" w:lineRule="atLeast"/>
        <w:jc w:val="both"/>
        <w:rPr>
          <w:rFonts w:ascii="Arial" w:hAnsi="Arial" w:cs="Arial"/>
          <w:b/>
          <w:bCs/>
          <w:u w:val="single"/>
          <w:cs/>
          <w:lang w:val="th-TH" w:bidi="th-TH"/>
        </w:rPr>
      </w:pPr>
    </w:p>
    <w:p w14:paraId="0A2EABB1" w14:textId="77777777" w:rsidR="00372F52" w:rsidRPr="00FB3075" w:rsidRDefault="00372F52" w:rsidP="0039130F">
      <w:pPr>
        <w:pStyle w:val="ListParagraph"/>
        <w:numPr>
          <w:ilvl w:val="0"/>
          <w:numId w:val="1"/>
        </w:numPr>
        <w:shd w:val="clear" w:color="auto" w:fill="FFFFFF"/>
        <w:spacing w:line="252" w:lineRule="atLeast"/>
        <w:jc w:val="both"/>
        <w:rPr>
          <w:rFonts w:ascii="Arial" w:hAnsi="Arial" w:cs="Arial"/>
          <w:b/>
          <w:bCs/>
          <w:sz w:val="22"/>
          <w:szCs w:val="22"/>
          <w:cs/>
          <w:lang w:val="th-TH" w:bidi="th-TH"/>
        </w:rPr>
      </w:pPr>
      <w:r w:rsidRPr="00FB3075">
        <w:rPr>
          <w:rFonts w:ascii="Arial" w:hAnsi="Arial" w:cs="Arial"/>
          <w:b/>
          <w:bCs/>
          <w:sz w:val="22"/>
          <w:szCs w:val="22"/>
          <w:cs/>
          <w:lang w:val="th-TH" w:bidi="th-TH"/>
        </w:rPr>
        <w:t>Primer sequences</w:t>
      </w:r>
    </w:p>
    <w:p w14:paraId="3B7D58A1" w14:textId="77777777" w:rsidR="00372F52" w:rsidRPr="00FB3075" w:rsidRDefault="00372F52" w:rsidP="0039130F">
      <w:pPr>
        <w:shd w:val="clear" w:color="auto" w:fill="FFFFFF"/>
        <w:spacing w:line="252" w:lineRule="atLeast"/>
        <w:jc w:val="both"/>
        <w:rPr>
          <w:rFonts w:ascii="Arial" w:hAnsi="Arial" w:cs="Arial"/>
          <w:sz w:val="20"/>
          <w:szCs w:val="20"/>
          <w:cs/>
          <w:lang w:val="th-TH" w:bidi="th-TH"/>
        </w:rPr>
      </w:pPr>
    </w:p>
    <w:tbl>
      <w:tblPr>
        <w:tblStyle w:val="PlainTable21"/>
        <w:tblW w:w="4009" w:type="pct"/>
        <w:jc w:val="center"/>
        <w:tblLook w:val="04A0" w:firstRow="1" w:lastRow="0" w:firstColumn="1" w:lastColumn="0" w:noHBand="0" w:noVBand="1"/>
      </w:tblPr>
      <w:tblGrid>
        <w:gridCol w:w="1495"/>
        <w:gridCol w:w="3596"/>
        <w:gridCol w:w="2010"/>
      </w:tblGrid>
      <w:tr w:rsidR="00372F52" w:rsidRPr="00FB3075" w14:paraId="37802B6D" w14:textId="77777777" w:rsidTr="009C5A91">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53" w:type="pct"/>
            <w:tcBorders>
              <w:top w:val="single" w:sz="18" w:space="0" w:color="auto"/>
              <w:bottom w:val="single" w:sz="18" w:space="0" w:color="auto"/>
            </w:tcBorders>
          </w:tcPr>
          <w:p w14:paraId="52BDDC39" w14:textId="77777777" w:rsidR="00372F52" w:rsidRPr="00FB3075" w:rsidRDefault="00372F52" w:rsidP="0039130F">
            <w:pPr>
              <w:spacing w:line="360" w:lineRule="auto"/>
              <w:jc w:val="center"/>
              <w:rPr>
                <w:rFonts w:ascii="Arial" w:hAnsi="Arial" w:cs="Arial"/>
                <w:sz w:val="20"/>
                <w:szCs w:val="20"/>
              </w:rPr>
            </w:pPr>
            <w:r w:rsidRPr="00FB3075">
              <w:rPr>
                <w:rFonts w:ascii="Arial" w:hAnsi="Arial" w:cs="Arial"/>
                <w:sz w:val="20"/>
                <w:szCs w:val="20"/>
              </w:rPr>
              <w:t>Primer name</w:t>
            </w:r>
          </w:p>
        </w:tc>
        <w:tc>
          <w:tcPr>
            <w:tcW w:w="2531" w:type="pct"/>
            <w:tcBorders>
              <w:top w:val="single" w:sz="18" w:space="0" w:color="auto"/>
              <w:bottom w:val="single" w:sz="18" w:space="0" w:color="auto"/>
            </w:tcBorders>
          </w:tcPr>
          <w:p w14:paraId="58B65856" w14:textId="77777777" w:rsidR="00372F52" w:rsidRPr="00FB3075" w:rsidRDefault="00372F52" w:rsidP="0039130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B3075">
              <w:rPr>
                <w:rFonts w:ascii="Arial" w:hAnsi="Arial" w:cs="Arial"/>
                <w:sz w:val="20"/>
                <w:szCs w:val="20"/>
              </w:rPr>
              <w:t>Sequence (5’ to 3’)</w:t>
            </w:r>
          </w:p>
        </w:tc>
        <w:tc>
          <w:tcPr>
            <w:tcW w:w="1415" w:type="pct"/>
            <w:tcBorders>
              <w:top w:val="single" w:sz="18" w:space="0" w:color="auto"/>
              <w:bottom w:val="single" w:sz="18" w:space="0" w:color="auto"/>
            </w:tcBorders>
          </w:tcPr>
          <w:p w14:paraId="6667CF14" w14:textId="77777777" w:rsidR="00372F52" w:rsidRPr="00FB3075" w:rsidRDefault="00372F52" w:rsidP="0039130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B3075">
              <w:rPr>
                <w:rFonts w:ascii="Arial" w:hAnsi="Arial" w:cs="Arial"/>
                <w:sz w:val="20"/>
                <w:szCs w:val="20"/>
              </w:rPr>
              <w:t>Amplicon</w:t>
            </w:r>
            <w:proofErr w:type="spellEnd"/>
            <w:r w:rsidRPr="00FB3075">
              <w:rPr>
                <w:rFonts w:ascii="Arial" w:hAnsi="Arial" w:cs="Arial"/>
                <w:sz w:val="20"/>
                <w:szCs w:val="20"/>
              </w:rPr>
              <w:t xml:space="preserve"> size (</w:t>
            </w:r>
            <w:proofErr w:type="spellStart"/>
            <w:r w:rsidRPr="00FB3075">
              <w:rPr>
                <w:rFonts w:ascii="Arial" w:hAnsi="Arial" w:cs="Arial"/>
                <w:sz w:val="20"/>
                <w:szCs w:val="20"/>
              </w:rPr>
              <w:t>bp</w:t>
            </w:r>
            <w:proofErr w:type="spellEnd"/>
            <w:r w:rsidRPr="00FB3075">
              <w:rPr>
                <w:rFonts w:ascii="Arial" w:hAnsi="Arial" w:cs="Arial"/>
                <w:sz w:val="20"/>
                <w:szCs w:val="20"/>
              </w:rPr>
              <w:t>)</w:t>
            </w:r>
          </w:p>
        </w:tc>
      </w:tr>
      <w:tr w:rsidR="00372F52" w:rsidRPr="00FB3075" w14:paraId="603CB5FB" w14:textId="77777777" w:rsidTr="009C5A9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53" w:type="pct"/>
            <w:tcBorders>
              <w:top w:val="single" w:sz="18" w:space="0" w:color="auto"/>
              <w:bottom w:val="single" w:sz="4" w:space="0" w:color="FFFFFF" w:themeColor="background1"/>
            </w:tcBorders>
          </w:tcPr>
          <w:p w14:paraId="4B0EC36C" w14:textId="77777777" w:rsidR="00372F52" w:rsidRPr="00FB3075" w:rsidRDefault="00372F52" w:rsidP="0039130F">
            <w:pPr>
              <w:spacing w:line="360" w:lineRule="auto"/>
              <w:jc w:val="center"/>
              <w:rPr>
                <w:rFonts w:ascii="Arial" w:hAnsi="Arial" w:cs="Arial"/>
                <w:sz w:val="20"/>
                <w:szCs w:val="20"/>
              </w:rPr>
            </w:pPr>
            <w:r w:rsidRPr="00FB3075">
              <w:rPr>
                <w:rFonts w:ascii="Arial" w:hAnsi="Arial" w:cs="Arial"/>
                <w:sz w:val="20"/>
                <w:szCs w:val="20"/>
              </w:rPr>
              <w:t>First PCR</w:t>
            </w:r>
          </w:p>
        </w:tc>
        <w:tc>
          <w:tcPr>
            <w:tcW w:w="2531" w:type="pct"/>
            <w:tcBorders>
              <w:top w:val="single" w:sz="18" w:space="0" w:color="auto"/>
              <w:bottom w:val="single" w:sz="4" w:space="0" w:color="FFFFFF" w:themeColor="background1"/>
            </w:tcBorders>
          </w:tcPr>
          <w:p w14:paraId="106BE360" w14:textId="77777777" w:rsidR="00372F52" w:rsidRPr="00FB3075" w:rsidRDefault="00372F52" w:rsidP="0039130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415" w:type="pct"/>
            <w:tcBorders>
              <w:top w:val="single" w:sz="18" w:space="0" w:color="auto"/>
              <w:bottom w:val="single" w:sz="4" w:space="0" w:color="FFFFFF" w:themeColor="background1"/>
            </w:tcBorders>
          </w:tcPr>
          <w:p w14:paraId="15FE84E3" w14:textId="77777777" w:rsidR="00372F52" w:rsidRPr="00FB3075" w:rsidRDefault="00372F52" w:rsidP="0039130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372F52" w:rsidRPr="00FB3075" w14:paraId="21DB60E6" w14:textId="77777777" w:rsidTr="009C5A91">
        <w:trPr>
          <w:trHeight w:val="288"/>
          <w:jc w:val="center"/>
        </w:trPr>
        <w:tc>
          <w:tcPr>
            <w:cnfStyle w:val="001000000000" w:firstRow="0" w:lastRow="0" w:firstColumn="1" w:lastColumn="0" w:oddVBand="0" w:evenVBand="0" w:oddHBand="0" w:evenHBand="0" w:firstRowFirstColumn="0" w:firstRowLastColumn="0" w:lastRowFirstColumn="0" w:lastRowLastColumn="0"/>
            <w:tcW w:w="1053" w:type="pct"/>
            <w:tcBorders>
              <w:top w:val="single" w:sz="4" w:space="0" w:color="FFFFFF" w:themeColor="background1"/>
              <w:bottom w:val="single" w:sz="4" w:space="0" w:color="FFFFFF" w:themeColor="background1"/>
            </w:tcBorders>
          </w:tcPr>
          <w:p w14:paraId="141E3CE5" w14:textId="77777777" w:rsidR="00372F52" w:rsidRPr="002E5F20" w:rsidRDefault="00372F52" w:rsidP="0039130F">
            <w:pPr>
              <w:spacing w:line="360" w:lineRule="auto"/>
              <w:jc w:val="center"/>
              <w:rPr>
                <w:rFonts w:ascii="Arial" w:hAnsi="Arial" w:cs="Arial"/>
                <w:b w:val="0"/>
                <w:bCs w:val="0"/>
                <w:sz w:val="20"/>
                <w:szCs w:val="20"/>
              </w:rPr>
            </w:pPr>
            <w:r w:rsidRPr="002E5F20">
              <w:rPr>
                <w:rFonts w:ascii="Arial" w:hAnsi="Arial" w:cs="Arial"/>
                <w:b w:val="0"/>
                <w:sz w:val="20"/>
                <w:szCs w:val="20"/>
              </w:rPr>
              <w:t>SWP_1F</w:t>
            </w:r>
          </w:p>
        </w:tc>
        <w:tc>
          <w:tcPr>
            <w:tcW w:w="2531" w:type="pct"/>
            <w:tcBorders>
              <w:top w:val="single" w:sz="4" w:space="0" w:color="FFFFFF" w:themeColor="background1"/>
              <w:bottom w:val="single" w:sz="4" w:space="0" w:color="FFFFFF" w:themeColor="background1"/>
            </w:tcBorders>
          </w:tcPr>
          <w:p w14:paraId="6712E771" w14:textId="77777777" w:rsidR="00372F52" w:rsidRPr="00FB3075" w:rsidRDefault="00372F52" w:rsidP="0039130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B3075">
              <w:rPr>
                <w:rFonts w:ascii="Arial" w:hAnsi="Arial" w:cs="Arial"/>
                <w:sz w:val="20"/>
                <w:szCs w:val="20"/>
              </w:rPr>
              <w:t>TTGCAGAGTGTTGTTAAGGGTTT</w:t>
            </w:r>
          </w:p>
        </w:tc>
        <w:tc>
          <w:tcPr>
            <w:tcW w:w="1415" w:type="pct"/>
            <w:vMerge w:val="restart"/>
            <w:tcBorders>
              <w:top w:val="single" w:sz="4" w:space="0" w:color="FFFFFF" w:themeColor="background1"/>
            </w:tcBorders>
          </w:tcPr>
          <w:p w14:paraId="5B45DA7A" w14:textId="77777777" w:rsidR="00372F52" w:rsidRPr="00FB3075" w:rsidRDefault="00372F52" w:rsidP="0039130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B3075">
              <w:rPr>
                <w:rFonts w:ascii="Arial" w:hAnsi="Arial" w:cs="Arial"/>
                <w:sz w:val="20"/>
                <w:szCs w:val="20"/>
              </w:rPr>
              <w:t>514</w:t>
            </w:r>
          </w:p>
        </w:tc>
      </w:tr>
      <w:tr w:rsidR="00372F52" w:rsidRPr="00FB3075" w14:paraId="5BB267C5" w14:textId="77777777" w:rsidTr="009C5A9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53" w:type="pct"/>
            <w:tcBorders>
              <w:top w:val="single" w:sz="4" w:space="0" w:color="FFFFFF" w:themeColor="background1"/>
              <w:bottom w:val="single" w:sz="4" w:space="0" w:color="auto"/>
            </w:tcBorders>
          </w:tcPr>
          <w:p w14:paraId="78212494" w14:textId="77777777" w:rsidR="00372F52" w:rsidRPr="002E5F20" w:rsidRDefault="00372F52" w:rsidP="0039130F">
            <w:pPr>
              <w:spacing w:line="360" w:lineRule="auto"/>
              <w:jc w:val="center"/>
              <w:rPr>
                <w:rFonts w:ascii="Arial" w:hAnsi="Arial" w:cs="Arial"/>
                <w:b w:val="0"/>
                <w:bCs w:val="0"/>
                <w:sz w:val="20"/>
                <w:szCs w:val="20"/>
              </w:rPr>
            </w:pPr>
            <w:r w:rsidRPr="002E5F20">
              <w:rPr>
                <w:rFonts w:ascii="Arial" w:hAnsi="Arial" w:cs="Arial"/>
                <w:b w:val="0"/>
                <w:sz w:val="20"/>
                <w:szCs w:val="20"/>
              </w:rPr>
              <w:t>SWP_1R</w:t>
            </w:r>
          </w:p>
        </w:tc>
        <w:tc>
          <w:tcPr>
            <w:tcW w:w="2531" w:type="pct"/>
            <w:tcBorders>
              <w:top w:val="single" w:sz="4" w:space="0" w:color="FFFFFF" w:themeColor="background1"/>
              <w:bottom w:val="single" w:sz="4" w:space="0" w:color="auto"/>
            </w:tcBorders>
          </w:tcPr>
          <w:p w14:paraId="2A85377B" w14:textId="77777777" w:rsidR="00372F52" w:rsidRPr="00FB3075" w:rsidRDefault="00372F52" w:rsidP="0039130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B3075">
              <w:rPr>
                <w:rFonts w:ascii="Arial" w:hAnsi="Arial" w:cs="Arial"/>
                <w:sz w:val="20"/>
                <w:szCs w:val="20"/>
              </w:rPr>
              <w:t>CACGATGTGTCTTTGCAATTTTC</w:t>
            </w:r>
          </w:p>
        </w:tc>
        <w:tc>
          <w:tcPr>
            <w:tcW w:w="1415" w:type="pct"/>
            <w:vMerge/>
            <w:tcBorders>
              <w:bottom w:val="single" w:sz="4" w:space="0" w:color="auto"/>
            </w:tcBorders>
          </w:tcPr>
          <w:p w14:paraId="53AE2AF2" w14:textId="77777777" w:rsidR="00372F52" w:rsidRPr="00FB3075" w:rsidRDefault="00372F52" w:rsidP="0039130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372F52" w:rsidRPr="00FB3075" w14:paraId="775526BE" w14:textId="77777777" w:rsidTr="009C5A91">
        <w:trPr>
          <w:trHeight w:val="288"/>
          <w:jc w:val="center"/>
        </w:trPr>
        <w:tc>
          <w:tcPr>
            <w:cnfStyle w:val="001000000000" w:firstRow="0" w:lastRow="0" w:firstColumn="1" w:lastColumn="0" w:oddVBand="0" w:evenVBand="0" w:oddHBand="0" w:evenHBand="0" w:firstRowFirstColumn="0" w:firstRowLastColumn="0" w:lastRowFirstColumn="0" w:lastRowLastColumn="0"/>
            <w:tcW w:w="1053" w:type="pct"/>
            <w:tcBorders>
              <w:top w:val="single" w:sz="4" w:space="0" w:color="auto"/>
              <w:bottom w:val="single" w:sz="4" w:space="0" w:color="FFFFFF" w:themeColor="background1"/>
            </w:tcBorders>
          </w:tcPr>
          <w:p w14:paraId="6643D2F2" w14:textId="77777777" w:rsidR="00372F52" w:rsidRPr="00FB3075" w:rsidRDefault="00372F52" w:rsidP="0039130F">
            <w:pPr>
              <w:spacing w:line="360" w:lineRule="auto"/>
              <w:jc w:val="center"/>
              <w:rPr>
                <w:rFonts w:ascii="Arial" w:hAnsi="Arial" w:cs="Arial"/>
                <w:sz w:val="20"/>
                <w:szCs w:val="20"/>
              </w:rPr>
            </w:pPr>
            <w:r w:rsidRPr="00FB3075">
              <w:rPr>
                <w:rFonts w:ascii="Arial" w:hAnsi="Arial" w:cs="Arial"/>
                <w:sz w:val="20"/>
                <w:szCs w:val="20"/>
              </w:rPr>
              <w:t>Nested PCR</w:t>
            </w:r>
          </w:p>
        </w:tc>
        <w:tc>
          <w:tcPr>
            <w:tcW w:w="2531" w:type="pct"/>
            <w:tcBorders>
              <w:top w:val="single" w:sz="4" w:space="0" w:color="auto"/>
              <w:bottom w:val="single" w:sz="4" w:space="0" w:color="FFFFFF" w:themeColor="background1"/>
            </w:tcBorders>
          </w:tcPr>
          <w:p w14:paraId="53007AB6" w14:textId="77777777" w:rsidR="00372F52" w:rsidRPr="00FB3075" w:rsidRDefault="00372F52" w:rsidP="0039130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15" w:type="pct"/>
            <w:tcBorders>
              <w:top w:val="single" w:sz="4" w:space="0" w:color="auto"/>
              <w:bottom w:val="single" w:sz="4" w:space="0" w:color="FFFFFF" w:themeColor="background1"/>
            </w:tcBorders>
          </w:tcPr>
          <w:p w14:paraId="54706811" w14:textId="77777777" w:rsidR="00372F52" w:rsidRPr="00FB3075" w:rsidRDefault="00372F52" w:rsidP="0039130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372F52" w:rsidRPr="00FB3075" w14:paraId="60374B0F" w14:textId="77777777" w:rsidTr="009C5A9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053" w:type="pct"/>
            <w:tcBorders>
              <w:top w:val="single" w:sz="4" w:space="0" w:color="FFFFFF" w:themeColor="background1"/>
              <w:bottom w:val="single" w:sz="4" w:space="0" w:color="FFFFFF" w:themeColor="background1"/>
            </w:tcBorders>
          </w:tcPr>
          <w:p w14:paraId="18BC4DAC" w14:textId="77777777" w:rsidR="00372F52" w:rsidRPr="002E5F20" w:rsidRDefault="00372F52" w:rsidP="0039130F">
            <w:pPr>
              <w:spacing w:line="360" w:lineRule="auto"/>
              <w:jc w:val="center"/>
              <w:rPr>
                <w:rFonts w:ascii="Arial" w:hAnsi="Arial" w:cs="Arial"/>
                <w:b w:val="0"/>
                <w:bCs w:val="0"/>
                <w:sz w:val="20"/>
                <w:szCs w:val="20"/>
              </w:rPr>
            </w:pPr>
            <w:r w:rsidRPr="002E5F20">
              <w:rPr>
                <w:rFonts w:ascii="Arial" w:hAnsi="Arial" w:cs="Arial"/>
                <w:b w:val="0"/>
                <w:sz w:val="20"/>
                <w:szCs w:val="20"/>
              </w:rPr>
              <w:t>SWP_2F</w:t>
            </w:r>
          </w:p>
        </w:tc>
        <w:tc>
          <w:tcPr>
            <w:tcW w:w="2531" w:type="pct"/>
            <w:tcBorders>
              <w:top w:val="single" w:sz="4" w:space="0" w:color="FFFFFF" w:themeColor="background1"/>
              <w:bottom w:val="single" w:sz="4" w:space="0" w:color="FFFFFF" w:themeColor="background1"/>
            </w:tcBorders>
          </w:tcPr>
          <w:p w14:paraId="0AFC82B3" w14:textId="77777777" w:rsidR="00372F52" w:rsidRPr="00FB3075" w:rsidRDefault="00372F52" w:rsidP="0039130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B3075">
              <w:rPr>
                <w:rFonts w:ascii="Arial" w:hAnsi="Arial" w:cs="Arial"/>
                <w:sz w:val="20"/>
                <w:szCs w:val="20"/>
              </w:rPr>
              <w:t>TTGGCGGCACAATTCTCAAACA</w:t>
            </w:r>
          </w:p>
        </w:tc>
        <w:tc>
          <w:tcPr>
            <w:tcW w:w="1415" w:type="pct"/>
            <w:vMerge w:val="restart"/>
            <w:tcBorders>
              <w:top w:val="single" w:sz="4" w:space="0" w:color="FFFFFF" w:themeColor="background1"/>
            </w:tcBorders>
          </w:tcPr>
          <w:p w14:paraId="142EBDE2" w14:textId="77777777" w:rsidR="00372F52" w:rsidRPr="00FB3075" w:rsidRDefault="00372F52" w:rsidP="0039130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B3075">
              <w:rPr>
                <w:rFonts w:ascii="Arial" w:hAnsi="Arial" w:cs="Arial"/>
                <w:sz w:val="20"/>
                <w:szCs w:val="20"/>
              </w:rPr>
              <w:t>148</w:t>
            </w:r>
          </w:p>
        </w:tc>
      </w:tr>
      <w:tr w:rsidR="00372F52" w:rsidRPr="00FB3075" w14:paraId="14B5C2B5" w14:textId="77777777" w:rsidTr="00AC7FE7">
        <w:trPr>
          <w:trHeight w:val="288"/>
          <w:jc w:val="center"/>
        </w:trPr>
        <w:tc>
          <w:tcPr>
            <w:cnfStyle w:val="001000000000" w:firstRow="0" w:lastRow="0" w:firstColumn="1" w:lastColumn="0" w:oddVBand="0" w:evenVBand="0" w:oddHBand="0" w:evenHBand="0" w:firstRowFirstColumn="0" w:firstRowLastColumn="0" w:lastRowFirstColumn="0" w:lastRowLastColumn="0"/>
            <w:tcW w:w="1053" w:type="pct"/>
            <w:tcBorders>
              <w:top w:val="single" w:sz="4" w:space="0" w:color="FFFFFF" w:themeColor="background1"/>
              <w:bottom w:val="single" w:sz="18" w:space="0" w:color="auto"/>
            </w:tcBorders>
          </w:tcPr>
          <w:p w14:paraId="444774FC" w14:textId="77777777" w:rsidR="00372F52" w:rsidRPr="002E5F20" w:rsidRDefault="00372F52" w:rsidP="0039130F">
            <w:pPr>
              <w:spacing w:line="360" w:lineRule="auto"/>
              <w:jc w:val="center"/>
              <w:rPr>
                <w:rFonts w:ascii="Arial" w:hAnsi="Arial" w:cs="Arial"/>
                <w:b w:val="0"/>
                <w:bCs w:val="0"/>
                <w:sz w:val="20"/>
                <w:szCs w:val="20"/>
              </w:rPr>
            </w:pPr>
            <w:r w:rsidRPr="002E5F20">
              <w:rPr>
                <w:rFonts w:ascii="Arial" w:hAnsi="Arial" w:cs="Arial"/>
                <w:b w:val="0"/>
                <w:sz w:val="20"/>
                <w:szCs w:val="20"/>
              </w:rPr>
              <w:t>SWP_2R</w:t>
            </w:r>
          </w:p>
        </w:tc>
        <w:tc>
          <w:tcPr>
            <w:tcW w:w="2531" w:type="pct"/>
            <w:tcBorders>
              <w:top w:val="single" w:sz="4" w:space="0" w:color="FFFFFF" w:themeColor="background1"/>
              <w:bottom w:val="single" w:sz="18" w:space="0" w:color="auto"/>
            </w:tcBorders>
          </w:tcPr>
          <w:p w14:paraId="045FCF07" w14:textId="77777777" w:rsidR="00372F52" w:rsidRPr="00FB3075" w:rsidRDefault="00372F52" w:rsidP="0039130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B3075">
              <w:rPr>
                <w:rFonts w:ascii="Arial" w:hAnsi="Arial" w:cs="Arial"/>
                <w:sz w:val="20"/>
                <w:szCs w:val="20"/>
              </w:rPr>
              <w:t>GCTGTTTGTCTCCAACTGTATTTGA</w:t>
            </w:r>
          </w:p>
        </w:tc>
        <w:tc>
          <w:tcPr>
            <w:tcW w:w="1415" w:type="pct"/>
            <w:vMerge/>
            <w:tcBorders>
              <w:bottom w:val="single" w:sz="18" w:space="0" w:color="auto"/>
            </w:tcBorders>
          </w:tcPr>
          <w:p w14:paraId="6A95ED19" w14:textId="77777777" w:rsidR="00372F52" w:rsidRPr="00FB3075" w:rsidRDefault="00372F52" w:rsidP="0039130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1BFB5F71" w14:textId="77777777" w:rsidR="00DD384B" w:rsidRPr="009C5A91" w:rsidRDefault="00DD384B" w:rsidP="0039130F">
      <w:pPr>
        <w:jc w:val="both"/>
        <w:rPr>
          <w:rFonts w:ascii="Arial" w:hAnsi="Arial" w:cs="Arial"/>
          <w:b/>
          <w:szCs w:val="20"/>
        </w:rPr>
      </w:pPr>
    </w:p>
    <w:p w14:paraId="158922AF" w14:textId="77777777" w:rsidR="00DD384B" w:rsidRPr="00DD384B" w:rsidRDefault="00DD384B" w:rsidP="00DD384B">
      <w:pPr>
        <w:ind w:left="360"/>
        <w:jc w:val="both"/>
        <w:rPr>
          <w:rFonts w:ascii="Arial" w:hAnsi="Arial" w:cs="Arial"/>
          <w:b/>
          <w:sz w:val="22"/>
          <w:szCs w:val="20"/>
        </w:rPr>
      </w:pPr>
    </w:p>
    <w:p w14:paraId="490442A1" w14:textId="77777777" w:rsidR="00DD384B" w:rsidRPr="00DD384B" w:rsidRDefault="00DD384B" w:rsidP="00DD384B">
      <w:pPr>
        <w:ind w:left="360"/>
        <w:jc w:val="both"/>
        <w:rPr>
          <w:rFonts w:ascii="Arial" w:hAnsi="Arial" w:cs="Arial"/>
          <w:b/>
          <w:sz w:val="22"/>
          <w:szCs w:val="20"/>
        </w:rPr>
      </w:pPr>
    </w:p>
    <w:p w14:paraId="437CF706" w14:textId="77777777" w:rsidR="00DD384B" w:rsidRPr="00DD384B" w:rsidRDefault="00DD384B" w:rsidP="00DD384B">
      <w:pPr>
        <w:ind w:left="360"/>
        <w:jc w:val="both"/>
        <w:rPr>
          <w:rFonts w:ascii="Arial" w:hAnsi="Arial" w:cs="Arial"/>
          <w:b/>
          <w:sz w:val="22"/>
          <w:szCs w:val="20"/>
        </w:rPr>
      </w:pPr>
    </w:p>
    <w:p w14:paraId="2C1D8789" w14:textId="77777777" w:rsidR="00DD384B" w:rsidRPr="00DD384B" w:rsidRDefault="00DD384B" w:rsidP="00DD384B">
      <w:pPr>
        <w:ind w:left="360"/>
        <w:jc w:val="both"/>
        <w:rPr>
          <w:rFonts w:ascii="Arial" w:hAnsi="Arial" w:cs="Arial"/>
          <w:b/>
          <w:sz w:val="22"/>
          <w:szCs w:val="20"/>
        </w:rPr>
      </w:pPr>
    </w:p>
    <w:p w14:paraId="03E54AE5" w14:textId="77777777" w:rsidR="00791008" w:rsidRPr="00FB3075" w:rsidRDefault="00372F52" w:rsidP="0039130F">
      <w:pPr>
        <w:pStyle w:val="ListParagraph"/>
        <w:numPr>
          <w:ilvl w:val="0"/>
          <w:numId w:val="1"/>
        </w:numPr>
        <w:jc w:val="both"/>
        <w:rPr>
          <w:rFonts w:ascii="Arial" w:hAnsi="Arial" w:cs="Arial"/>
          <w:b/>
          <w:sz w:val="22"/>
          <w:szCs w:val="20"/>
        </w:rPr>
      </w:pPr>
      <w:r w:rsidRPr="00FB3075">
        <w:rPr>
          <w:rFonts w:ascii="Arial" w:hAnsi="Arial" w:cs="Arial"/>
          <w:b/>
          <w:sz w:val="22"/>
          <w:szCs w:val="20"/>
        </w:rPr>
        <w:t>Reaction conditions</w:t>
      </w:r>
    </w:p>
    <w:p w14:paraId="0E76E88B" w14:textId="77777777" w:rsidR="00FB3075" w:rsidRPr="00FB3075" w:rsidRDefault="00FB3075" w:rsidP="0039130F">
      <w:pPr>
        <w:ind w:left="360"/>
        <w:jc w:val="both"/>
        <w:rPr>
          <w:rFonts w:ascii="Arial" w:hAnsi="Arial" w:cs="Arial"/>
          <w:b/>
          <w:sz w:val="22"/>
          <w:szCs w:val="20"/>
        </w:rPr>
      </w:pPr>
    </w:p>
    <w:tbl>
      <w:tblPr>
        <w:tblStyle w:val="TableGrid"/>
        <w:tblW w:w="0" w:type="auto"/>
        <w:jc w:val="center"/>
        <w:tblLook w:val="04A0" w:firstRow="1" w:lastRow="0" w:firstColumn="1" w:lastColumn="0" w:noHBand="0" w:noVBand="1"/>
      </w:tblPr>
      <w:tblGrid>
        <w:gridCol w:w="1361"/>
        <w:gridCol w:w="3644"/>
        <w:gridCol w:w="2662"/>
      </w:tblGrid>
      <w:tr w:rsidR="002627E1" w:rsidRPr="002E5F20" w14:paraId="1ECA8C89" w14:textId="77777777" w:rsidTr="002E5F20">
        <w:trPr>
          <w:jc w:val="center"/>
        </w:trPr>
        <w:tc>
          <w:tcPr>
            <w:tcW w:w="0" w:type="auto"/>
            <w:tcBorders>
              <w:top w:val="single" w:sz="18" w:space="0" w:color="auto"/>
              <w:left w:val="nil"/>
              <w:bottom w:val="single" w:sz="18" w:space="0" w:color="auto"/>
              <w:right w:val="nil"/>
            </w:tcBorders>
            <w:vAlign w:val="center"/>
          </w:tcPr>
          <w:p w14:paraId="02C3DC90" w14:textId="77777777" w:rsidR="002627E1" w:rsidRPr="002E5F20" w:rsidRDefault="002627E1" w:rsidP="0039130F">
            <w:pPr>
              <w:autoSpaceDE w:val="0"/>
              <w:autoSpaceDN w:val="0"/>
              <w:adjustRightInd w:val="0"/>
              <w:spacing w:line="360" w:lineRule="auto"/>
              <w:jc w:val="center"/>
              <w:rPr>
                <w:rStyle w:val="il"/>
                <w:rFonts w:ascii="Arial" w:hAnsi="Arial" w:cs="Arial"/>
                <w:b/>
                <w:sz w:val="20"/>
                <w:szCs w:val="20"/>
                <w:shd w:val="clear" w:color="auto" w:fill="FFFFFF"/>
              </w:rPr>
            </w:pPr>
            <w:r w:rsidRPr="002E5F20">
              <w:rPr>
                <w:rStyle w:val="il"/>
                <w:rFonts w:ascii="Arial" w:hAnsi="Arial" w:cs="Arial"/>
                <w:b/>
                <w:sz w:val="20"/>
                <w:szCs w:val="20"/>
                <w:shd w:val="clear" w:color="auto" w:fill="FFFFFF"/>
              </w:rPr>
              <w:t>Step</w:t>
            </w:r>
          </w:p>
        </w:tc>
        <w:tc>
          <w:tcPr>
            <w:tcW w:w="0" w:type="auto"/>
            <w:tcBorders>
              <w:top w:val="single" w:sz="18" w:space="0" w:color="auto"/>
              <w:left w:val="nil"/>
              <w:bottom w:val="single" w:sz="18" w:space="0" w:color="auto"/>
              <w:right w:val="nil"/>
            </w:tcBorders>
            <w:vAlign w:val="center"/>
          </w:tcPr>
          <w:p w14:paraId="2EF13F67" w14:textId="77777777" w:rsidR="002627E1" w:rsidRPr="002E5F20" w:rsidRDefault="002627E1" w:rsidP="0039130F">
            <w:pPr>
              <w:autoSpaceDE w:val="0"/>
              <w:autoSpaceDN w:val="0"/>
              <w:adjustRightInd w:val="0"/>
              <w:spacing w:line="360" w:lineRule="auto"/>
              <w:jc w:val="center"/>
              <w:rPr>
                <w:rStyle w:val="il"/>
                <w:rFonts w:ascii="Arial" w:hAnsi="Arial" w:cs="Arial"/>
                <w:b/>
                <w:sz w:val="20"/>
                <w:szCs w:val="20"/>
                <w:shd w:val="clear" w:color="auto" w:fill="FFFFFF"/>
              </w:rPr>
            </w:pPr>
            <w:r w:rsidRPr="002E5F20">
              <w:rPr>
                <w:rStyle w:val="il"/>
                <w:rFonts w:ascii="Arial" w:hAnsi="Arial" w:cs="Arial"/>
                <w:b/>
                <w:sz w:val="20"/>
                <w:szCs w:val="20"/>
                <w:shd w:val="clear" w:color="auto" w:fill="FFFFFF"/>
              </w:rPr>
              <w:t>Reagents</w:t>
            </w:r>
          </w:p>
        </w:tc>
        <w:tc>
          <w:tcPr>
            <w:tcW w:w="0" w:type="auto"/>
            <w:tcBorders>
              <w:top w:val="single" w:sz="18" w:space="0" w:color="auto"/>
              <w:left w:val="nil"/>
              <w:bottom w:val="single" w:sz="18" w:space="0" w:color="auto"/>
              <w:right w:val="nil"/>
            </w:tcBorders>
            <w:vAlign w:val="center"/>
          </w:tcPr>
          <w:p w14:paraId="781A2A02" w14:textId="77777777" w:rsidR="002627E1" w:rsidRPr="002E5F20" w:rsidRDefault="002627E1" w:rsidP="0039130F">
            <w:pPr>
              <w:autoSpaceDE w:val="0"/>
              <w:autoSpaceDN w:val="0"/>
              <w:adjustRightInd w:val="0"/>
              <w:spacing w:line="360" w:lineRule="auto"/>
              <w:jc w:val="center"/>
              <w:rPr>
                <w:rStyle w:val="il"/>
                <w:rFonts w:ascii="Arial" w:hAnsi="Arial" w:cs="Arial"/>
                <w:b/>
                <w:sz w:val="20"/>
                <w:szCs w:val="20"/>
                <w:shd w:val="clear" w:color="auto" w:fill="FFFFFF"/>
              </w:rPr>
            </w:pPr>
            <w:proofErr w:type="spellStart"/>
            <w:r w:rsidRPr="002E5F20">
              <w:rPr>
                <w:rStyle w:val="il"/>
                <w:rFonts w:ascii="Arial" w:hAnsi="Arial" w:cs="Arial"/>
                <w:b/>
                <w:sz w:val="20"/>
                <w:szCs w:val="20"/>
                <w:shd w:val="clear" w:color="auto" w:fill="FFFFFF"/>
              </w:rPr>
              <w:t>Thermocycler</w:t>
            </w:r>
            <w:proofErr w:type="spellEnd"/>
            <w:r w:rsidRPr="002E5F20">
              <w:rPr>
                <w:rStyle w:val="il"/>
                <w:rFonts w:ascii="Arial" w:hAnsi="Arial" w:cs="Arial"/>
                <w:b/>
                <w:sz w:val="20"/>
                <w:szCs w:val="20"/>
                <w:shd w:val="clear" w:color="auto" w:fill="FFFFFF"/>
              </w:rPr>
              <w:t xml:space="preserve"> parameters</w:t>
            </w:r>
          </w:p>
        </w:tc>
      </w:tr>
      <w:tr w:rsidR="002627E1" w:rsidRPr="00FB3075" w14:paraId="733E399B" w14:textId="77777777" w:rsidTr="005653CC">
        <w:trPr>
          <w:jc w:val="center"/>
        </w:trPr>
        <w:tc>
          <w:tcPr>
            <w:tcW w:w="0" w:type="auto"/>
            <w:tcBorders>
              <w:top w:val="single" w:sz="18" w:space="0" w:color="auto"/>
              <w:left w:val="nil"/>
              <w:right w:val="nil"/>
            </w:tcBorders>
            <w:vAlign w:val="center"/>
          </w:tcPr>
          <w:p w14:paraId="5B7E1658" w14:textId="77777777" w:rsidR="002627E1" w:rsidRPr="002E5F20" w:rsidRDefault="002627E1" w:rsidP="0039130F">
            <w:pPr>
              <w:autoSpaceDE w:val="0"/>
              <w:autoSpaceDN w:val="0"/>
              <w:adjustRightInd w:val="0"/>
              <w:spacing w:line="360" w:lineRule="auto"/>
              <w:jc w:val="center"/>
              <w:rPr>
                <w:rStyle w:val="il"/>
                <w:rFonts w:ascii="Arial" w:hAnsi="Arial" w:cs="Arial"/>
                <w:b/>
                <w:sz w:val="20"/>
                <w:szCs w:val="20"/>
                <w:shd w:val="clear" w:color="auto" w:fill="FFFFFF"/>
              </w:rPr>
            </w:pPr>
            <w:r w:rsidRPr="002E5F20">
              <w:rPr>
                <w:rStyle w:val="il"/>
                <w:rFonts w:ascii="Arial" w:hAnsi="Arial" w:cs="Arial"/>
                <w:b/>
                <w:sz w:val="20"/>
                <w:szCs w:val="20"/>
                <w:shd w:val="clear" w:color="auto" w:fill="FFFFFF"/>
              </w:rPr>
              <w:t xml:space="preserve">First </w:t>
            </w:r>
            <w:r w:rsidR="002E5F20" w:rsidRPr="002E5F20">
              <w:rPr>
                <w:rStyle w:val="il"/>
                <w:rFonts w:ascii="Arial" w:hAnsi="Arial" w:cs="Arial"/>
                <w:b/>
                <w:sz w:val="20"/>
                <w:szCs w:val="20"/>
                <w:shd w:val="clear" w:color="auto" w:fill="FFFFFF"/>
              </w:rPr>
              <w:t>PCR</w:t>
            </w:r>
          </w:p>
        </w:tc>
        <w:tc>
          <w:tcPr>
            <w:tcW w:w="0" w:type="auto"/>
            <w:tcBorders>
              <w:top w:val="single" w:sz="18" w:space="0" w:color="auto"/>
              <w:left w:val="nil"/>
              <w:right w:val="nil"/>
            </w:tcBorders>
            <w:vAlign w:val="center"/>
          </w:tcPr>
          <w:p w14:paraId="0F2C1F1D" w14:textId="77777777" w:rsidR="00D02ABA" w:rsidRPr="00FB3075" w:rsidRDefault="00D02ABA" w:rsidP="00D02ABA">
            <w:pPr>
              <w:autoSpaceDE w:val="0"/>
              <w:autoSpaceDN w:val="0"/>
              <w:adjustRightInd w:val="0"/>
              <w:spacing w:line="360" w:lineRule="auto"/>
              <w:jc w:val="thaiDistribute"/>
              <w:rPr>
                <w:rFonts w:ascii="Arial" w:hAnsi="Arial" w:cs="Arial"/>
                <w:sz w:val="20"/>
                <w:szCs w:val="20"/>
              </w:rPr>
            </w:pPr>
            <w:r>
              <w:rPr>
                <w:rFonts w:ascii="Arial" w:hAnsi="Arial" w:cs="Arial"/>
                <w:sz w:val="20"/>
                <w:szCs w:val="20"/>
              </w:rPr>
              <w:t xml:space="preserve">0.2 </w:t>
            </w:r>
            <w:proofErr w:type="spellStart"/>
            <w:r>
              <w:rPr>
                <w:rFonts w:ascii="Arial" w:hAnsi="Arial" w:cs="Arial"/>
                <w:sz w:val="20"/>
                <w:szCs w:val="20"/>
              </w:rPr>
              <w:t>mM</w:t>
            </w:r>
            <w:proofErr w:type="spellEnd"/>
            <w:r>
              <w:rPr>
                <w:rFonts w:ascii="Arial" w:hAnsi="Arial" w:cs="Arial"/>
                <w:sz w:val="20"/>
                <w:szCs w:val="20"/>
              </w:rPr>
              <w:t xml:space="preserve"> </w:t>
            </w:r>
            <w:proofErr w:type="spellStart"/>
            <w:r>
              <w:rPr>
                <w:rFonts w:ascii="Arial" w:hAnsi="Arial" w:cs="Arial"/>
                <w:sz w:val="20"/>
                <w:szCs w:val="20"/>
              </w:rPr>
              <w:t>dNTP</w:t>
            </w:r>
            <w:proofErr w:type="spellEnd"/>
          </w:p>
          <w:p w14:paraId="2AB259A7" w14:textId="77777777" w:rsidR="00D02ABA" w:rsidRDefault="00D02ABA" w:rsidP="00D02ABA">
            <w:pPr>
              <w:autoSpaceDE w:val="0"/>
              <w:autoSpaceDN w:val="0"/>
              <w:adjustRightInd w:val="0"/>
              <w:spacing w:line="360" w:lineRule="auto"/>
              <w:jc w:val="thaiDistribute"/>
              <w:rPr>
                <w:rFonts w:ascii="Arial" w:hAnsi="Arial" w:cs="Arial"/>
                <w:sz w:val="20"/>
                <w:szCs w:val="20"/>
              </w:rPr>
            </w:pPr>
            <w:r>
              <w:rPr>
                <w:rFonts w:ascii="Arial" w:hAnsi="Arial" w:cs="Arial"/>
                <w:sz w:val="20"/>
                <w:szCs w:val="20"/>
              </w:rPr>
              <w:t xml:space="preserve">0.2 </w:t>
            </w:r>
            <w:proofErr w:type="spellStart"/>
            <w:r>
              <w:rPr>
                <w:rFonts w:ascii="Arial" w:hAnsi="Arial" w:cs="Arial"/>
                <w:sz w:val="20"/>
                <w:szCs w:val="20"/>
              </w:rPr>
              <w:t>μM</w:t>
            </w:r>
            <w:proofErr w:type="spellEnd"/>
            <w:r>
              <w:rPr>
                <w:rFonts w:ascii="Arial" w:hAnsi="Arial" w:cs="Arial"/>
                <w:sz w:val="20"/>
                <w:szCs w:val="20"/>
              </w:rPr>
              <w:t xml:space="preserve"> primer </w:t>
            </w:r>
            <w:r w:rsidRPr="002E5F20">
              <w:rPr>
                <w:rFonts w:ascii="Arial" w:hAnsi="Arial" w:cs="Arial"/>
                <w:sz w:val="20"/>
                <w:szCs w:val="20"/>
              </w:rPr>
              <w:t>SWP_1F</w:t>
            </w:r>
          </w:p>
          <w:p w14:paraId="17262566" w14:textId="77777777" w:rsidR="00D02ABA" w:rsidRPr="00FB3075" w:rsidRDefault="00D02ABA" w:rsidP="00D02ABA">
            <w:pPr>
              <w:autoSpaceDE w:val="0"/>
              <w:autoSpaceDN w:val="0"/>
              <w:adjustRightInd w:val="0"/>
              <w:spacing w:line="360" w:lineRule="auto"/>
              <w:jc w:val="thaiDistribute"/>
              <w:rPr>
                <w:rFonts w:ascii="Arial" w:hAnsi="Arial" w:cs="Arial"/>
                <w:sz w:val="20"/>
                <w:szCs w:val="20"/>
              </w:rPr>
            </w:pPr>
            <w:r>
              <w:rPr>
                <w:rFonts w:ascii="Arial" w:hAnsi="Arial" w:cs="Arial"/>
                <w:sz w:val="20"/>
                <w:szCs w:val="20"/>
              </w:rPr>
              <w:t xml:space="preserve">0.2 </w:t>
            </w:r>
            <w:proofErr w:type="spellStart"/>
            <w:r>
              <w:rPr>
                <w:rFonts w:ascii="Arial" w:hAnsi="Arial" w:cs="Arial"/>
                <w:sz w:val="20"/>
                <w:szCs w:val="20"/>
              </w:rPr>
              <w:t>μM</w:t>
            </w:r>
            <w:proofErr w:type="spellEnd"/>
            <w:r>
              <w:rPr>
                <w:rFonts w:ascii="Arial" w:hAnsi="Arial" w:cs="Arial"/>
                <w:sz w:val="20"/>
                <w:szCs w:val="20"/>
              </w:rPr>
              <w:t xml:space="preserve"> primer </w:t>
            </w:r>
            <w:r w:rsidRPr="002E5F20">
              <w:rPr>
                <w:rFonts w:ascii="Arial" w:hAnsi="Arial" w:cs="Arial"/>
                <w:sz w:val="20"/>
                <w:szCs w:val="20"/>
              </w:rPr>
              <w:t>SWP_1</w:t>
            </w:r>
            <w:r>
              <w:rPr>
                <w:rFonts w:ascii="Arial" w:hAnsi="Arial" w:cs="Arial"/>
                <w:sz w:val="20"/>
                <w:szCs w:val="20"/>
              </w:rPr>
              <w:t>R</w:t>
            </w:r>
          </w:p>
          <w:p w14:paraId="2D7589B4" w14:textId="77777777" w:rsidR="002627E1" w:rsidRPr="00FB3075" w:rsidRDefault="002627E1"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xml:space="preserve">0.5 unit of </w:t>
            </w:r>
            <w:proofErr w:type="spellStart"/>
            <w:r w:rsidRPr="00FB3075">
              <w:rPr>
                <w:rFonts w:ascii="Arial" w:hAnsi="Arial" w:cs="Arial"/>
                <w:i/>
                <w:iCs/>
                <w:sz w:val="20"/>
                <w:szCs w:val="20"/>
              </w:rPr>
              <w:t>Taq</w:t>
            </w:r>
            <w:proofErr w:type="spellEnd"/>
            <w:r w:rsidRPr="00FB3075">
              <w:rPr>
                <w:rFonts w:ascii="Arial" w:hAnsi="Arial" w:cs="Arial"/>
                <w:sz w:val="20"/>
                <w:szCs w:val="20"/>
              </w:rPr>
              <w:t xml:space="preserve"> DNA polymerase</w:t>
            </w:r>
          </w:p>
          <w:p w14:paraId="11309B74" w14:textId="77777777" w:rsidR="002627E1" w:rsidRPr="00FB3075" w:rsidRDefault="002627E1"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xml:space="preserve">100 </w:t>
            </w:r>
            <w:proofErr w:type="spellStart"/>
            <w:r w:rsidRPr="00FB3075">
              <w:rPr>
                <w:rFonts w:ascii="Arial" w:hAnsi="Arial" w:cs="Arial"/>
                <w:sz w:val="20"/>
                <w:szCs w:val="20"/>
              </w:rPr>
              <w:t>ng</w:t>
            </w:r>
            <w:proofErr w:type="spellEnd"/>
            <w:r w:rsidRPr="00FB3075">
              <w:rPr>
                <w:rFonts w:ascii="Arial" w:hAnsi="Arial" w:cs="Arial"/>
                <w:sz w:val="20"/>
                <w:szCs w:val="20"/>
              </w:rPr>
              <w:t xml:space="preserve"> of total shrimp DNA</w:t>
            </w:r>
          </w:p>
          <w:p w14:paraId="10C87B8C" w14:textId="77777777" w:rsidR="002627E1" w:rsidRPr="00FB3075" w:rsidRDefault="002627E1" w:rsidP="0039130F">
            <w:pPr>
              <w:autoSpaceDE w:val="0"/>
              <w:autoSpaceDN w:val="0"/>
              <w:adjustRightInd w:val="0"/>
              <w:spacing w:line="360" w:lineRule="auto"/>
              <w:jc w:val="thaiDistribute"/>
              <w:rPr>
                <w:rStyle w:val="il"/>
                <w:rFonts w:ascii="Arial" w:hAnsi="Arial" w:cs="Arial"/>
                <w:sz w:val="20"/>
                <w:szCs w:val="20"/>
                <w:shd w:val="clear" w:color="auto" w:fill="FFFFFF"/>
              </w:rPr>
            </w:pPr>
            <w:r w:rsidRPr="00FB3075">
              <w:rPr>
                <w:rFonts w:ascii="Arial" w:hAnsi="Arial" w:cs="Arial"/>
                <w:sz w:val="20"/>
                <w:szCs w:val="20"/>
              </w:rPr>
              <w:t>Total reaction 12.5 µl</w:t>
            </w:r>
          </w:p>
        </w:tc>
        <w:tc>
          <w:tcPr>
            <w:tcW w:w="0" w:type="auto"/>
            <w:tcBorders>
              <w:top w:val="single" w:sz="18" w:space="0" w:color="auto"/>
              <w:left w:val="nil"/>
              <w:right w:val="nil"/>
            </w:tcBorders>
          </w:tcPr>
          <w:p w14:paraId="76386B7E" w14:textId="77777777" w:rsidR="002627E1" w:rsidRPr="00FB3075" w:rsidRDefault="002627E1" w:rsidP="0039130F">
            <w:pPr>
              <w:autoSpaceDE w:val="0"/>
              <w:autoSpaceDN w:val="0"/>
              <w:adjustRightInd w:val="0"/>
              <w:spacing w:line="360" w:lineRule="auto"/>
              <w:jc w:val="thaiDistribute"/>
              <w:rPr>
                <w:rFonts w:ascii="Arial" w:hAnsi="Arial" w:cs="Arial"/>
                <w:sz w:val="20"/>
                <w:szCs w:val="20"/>
              </w:rPr>
            </w:pPr>
            <w:r w:rsidRPr="00FB3075">
              <w:rPr>
                <w:rStyle w:val="il"/>
                <w:rFonts w:ascii="Arial" w:hAnsi="Arial" w:cs="Arial"/>
                <w:sz w:val="20"/>
                <w:szCs w:val="20"/>
                <w:shd w:val="clear" w:color="auto" w:fill="FFFFFF"/>
              </w:rPr>
              <w:t xml:space="preserve">Denaturation </w:t>
            </w:r>
            <w:r w:rsidRPr="00FB3075">
              <w:rPr>
                <w:rFonts w:ascii="Arial" w:hAnsi="Arial" w:cs="Arial"/>
                <w:sz w:val="20"/>
                <w:szCs w:val="20"/>
              </w:rPr>
              <w:t>95°C, 5 min</w:t>
            </w:r>
          </w:p>
          <w:p w14:paraId="6D80C578" w14:textId="77777777" w:rsidR="002627E1" w:rsidRPr="00FB3075" w:rsidRDefault="002627E1"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30 cycles of</w:t>
            </w:r>
          </w:p>
          <w:p w14:paraId="002480D0" w14:textId="77777777" w:rsidR="002627E1" w:rsidRPr="00FB3075" w:rsidRDefault="00B430DF"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xml:space="preserve">- </w:t>
            </w:r>
            <w:r w:rsidR="002627E1" w:rsidRPr="00FB3075">
              <w:rPr>
                <w:rFonts w:ascii="Arial" w:hAnsi="Arial" w:cs="Arial"/>
                <w:sz w:val="20"/>
                <w:szCs w:val="20"/>
              </w:rPr>
              <w:t>Denaturation 95°C, 30 s</w:t>
            </w:r>
          </w:p>
          <w:p w14:paraId="136E548D" w14:textId="77777777" w:rsidR="002627E1" w:rsidRPr="00FB3075" w:rsidRDefault="00B430DF"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xml:space="preserve">- </w:t>
            </w:r>
            <w:r w:rsidR="002627E1" w:rsidRPr="00FB3075">
              <w:rPr>
                <w:rFonts w:ascii="Arial" w:hAnsi="Arial" w:cs="Arial"/>
                <w:sz w:val="20"/>
                <w:szCs w:val="20"/>
              </w:rPr>
              <w:t>Annealing 58°C, 30 s</w:t>
            </w:r>
          </w:p>
          <w:p w14:paraId="0AAE666A" w14:textId="77777777" w:rsidR="002627E1" w:rsidRPr="00FB3075" w:rsidRDefault="00B430DF"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xml:space="preserve">- </w:t>
            </w:r>
            <w:r w:rsidR="002627E1" w:rsidRPr="00FB3075">
              <w:rPr>
                <w:rFonts w:ascii="Arial" w:hAnsi="Arial" w:cs="Arial"/>
                <w:sz w:val="20"/>
                <w:szCs w:val="20"/>
              </w:rPr>
              <w:t>Extension 68°C, 45 s</w:t>
            </w:r>
          </w:p>
          <w:p w14:paraId="5F9BB366" w14:textId="77777777" w:rsidR="002627E1" w:rsidRPr="00FB3075" w:rsidRDefault="002627E1" w:rsidP="0039130F">
            <w:pPr>
              <w:autoSpaceDE w:val="0"/>
              <w:autoSpaceDN w:val="0"/>
              <w:adjustRightInd w:val="0"/>
              <w:spacing w:line="360" w:lineRule="auto"/>
              <w:jc w:val="thaiDistribute"/>
              <w:rPr>
                <w:rStyle w:val="il"/>
                <w:rFonts w:ascii="Arial" w:hAnsi="Arial" w:cs="Arial"/>
                <w:sz w:val="20"/>
                <w:szCs w:val="20"/>
              </w:rPr>
            </w:pPr>
            <w:r w:rsidRPr="00FB3075">
              <w:rPr>
                <w:rFonts w:ascii="Arial" w:hAnsi="Arial" w:cs="Arial"/>
                <w:sz w:val="20"/>
                <w:szCs w:val="20"/>
              </w:rPr>
              <w:t>Final 68°C, 5 min</w:t>
            </w:r>
          </w:p>
        </w:tc>
      </w:tr>
      <w:tr w:rsidR="002627E1" w:rsidRPr="00FB3075" w14:paraId="6464B7DB" w14:textId="77777777" w:rsidTr="005653CC">
        <w:trPr>
          <w:jc w:val="center"/>
        </w:trPr>
        <w:tc>
          <w:tcPr>
            <w:tcW w:w="0" w:type="auto"/>
            <w:tcBorders>
              <w:left w:val="nil"/>
              <w:bottom w:val="single" w:sz="18" w:space="0" w:color="auto"/>
              <w:right w:val="nil"/>
            </w:tcBorders>
            <w:vAlign w:val="center"/>
          </w:tcPr>
          <w:p w14:paraId="3534F4C2" w14:textId="77777777" w:rsidR="002627E1" w:rsidRPr="002E5F20" w:rsidRDefault="002627E1" w:rsidP="0039130F">
            <w:pPr>
              <w:autoSpaceDE w:val="0"/>
              <w:autoSpaceDN w:val="0"/>
              <w:adjustRightInd w:val="0"/>
              <w:spacing w:line="360" w:lineRule="auto"/>
              <w:jc w:val="center"/>
              <w:rPr>
                <w:rStyle w:val="il"/>
                <w:rFonts w:ascii="Arial" w:hAnsi="Arial" w:cs="Arial"/>
                <w:b/>
                <w:sz w:val="20"/>
                <w:szCs w:val="20"/>
                <w:shd w:val="clear" w:color="auto" w:fill="FFFFFF"/>
              </w:rPr>
            </w:pPr>
            <w:r w:rsidRPr="002E5F20">
              <w:rPr>
                <w:rStyle w:val="il"/>
                <w:rFonts w:ascii="Arial" w:hAnsi="Arial" w:cs="Arial"/>
                <w:b/>
                <w:sz w:val="20"/>
                <w:szCs w:val="20"/>
                <w:shd w:val="clear" w:color="auto" w:fill="FFFFFF"/>
              </w:rPr>
              <w:t xml:space="preserve">Nested </w:t>
            </w:r>
            <w:r w:rsidR="002E5F20">
              <w:rPr>
                <w:rStyle w:val="il"/>
                <w:rFonts w:ascii="Arial" w:hAnsi="Arial" w:cs="Arial"/>
                <w:b/>
                <w:sz w:val="20"/>
                <w:szCs w:val="20"/>
                <w:shd w:val="clear" w:color="auto" w:fill="FFFFFF"/>
              </w:rPr>
              <w:t>PCR</w:t>
            </w:r>
          </w:p>
        </w:tc>
        <w:tc>
          <w:tcPr>
            <w:tcW w:w="0" w:type="auto"/>
            <w:tcBorders>
              <w:left w:val="nil"/>
              <w:bottom w:val="single" w:sz="18" w:space="0" w:color="auto"/>
              <w:right w:val="nil"/>
            </w:tcBorders>
            <w:vAlign w:val="center"/>
          </w:tcPr>
          <w:p w14:paraId="4B9E7D49" w14:textId="77777777" w:rsidR="00D02ABA" w:rsidRPr="00FB3075" w:rsidRDefault="00D02ABA" w:rsidP="00D02ABA">
            <w:pPr>
              <w:autoSpaceDE w:val="0"/>
              <w:autoSpaceDN w:val="0"/>
              <w:adjustRightInd w:val="0"/>
              <w:spacing w:line="360" w:lineRule="auto"/>
              <w:jc w:val="thaiDistribute"/>
              <w:rPr>
                <w:rFonts w:ascii="Arial" w:hAnsi="Arial" w:cs="Arial"/>
                <w:sz w:val="20"/>
                <w:szCs w:val="20"/>
              </w:rPr>
            </w:pPr>
            <w:r>
              <w:rPr>
                <w:rFonts w:ascii="Arial" w:hAnsi="Arial" w:cs="Arial"/>
                <w:sz w:val="20"/>
                <w:szCs w:val="20"/>
              </w:rPr>
              <w:t xml:space="preserve">0.2 </w:t>
            </w:r>
            <w:proofErr w:type="spellStart"/>
            <w:r>
              <w:rPr>
                <w:rFonts w:ascii="Arial" w:hAnsi="Arial" w:cs="Arial"/>
                <w:sz w:val="20"/>
                <w:szCs w:val="20"/>
              </w:rPr>
              <w:t>mM</w:t>
            </w:r>
            <w:proofErr w:type="spellEnd"/>
            <w:r>
              <w:rPr>
                <w:rFonts w:ascii="Arial" w:hAnsi="Arial" w:cs="Arial"/>
                <w:sz w:val="20"/>
                <w:szCs w:val="20"/>
              </w:rPr>
              <w:t xml:space="preserve"> </w:t>
            </w:r>
            <w:proofErr w:type="spellStart"/>
            <w:r>
              <w:rPr>
                <w:rFonts w:ascii="Arial" w:hAnsi="Arial" w:cs="Arial"/>
                <w:sz w:val="20"/>
                <w:szCs w:val="20"/>
              </w:rPr>
              <w:t>dNTP</w:t>
            </w:r>
            <w:proofErr w:type="spellEnd"/>
          </w:p>
          <w:p w14:paraId="1A3925F3" w14:textId="77777777" w:rsidR="00D02ABA" w:rsidRDefault="00D02ABA" w:rsidP="00D02ABA">
            <w:pPr>
              <w:autoSpaceDE w:val="0"/>
              <w:autoSpaceDN w:val="0"/>
              <w:adjustRightInd w:val="0"/>
              <w:spacing w:line="360" w:lineRule="auto"/>
              <w:jc w:val="thaiDistribute"/>
              <w:rPr>
                <w:rFonts w:ascii="Arial" w:hAnsi="Arial" w:cs="Arial"/>
                <w:sz w:val="20"/>
                <w:szCs w:val="20"/>
              </w:rPr>
            </w:pPr>
            <w:r>
              <w:rPr>
                <w:rFonts w:ascii="Arial" w:hAnsi="Arial" w:cs="Arial"/>
                <w:sz w:val="20"/>
                <w:szCs w:val="20"/>
              </w:rPr>
              <w:t xml:space="preserve">0.2 </w:t>
            </w:r>
            <w:proofErr w:type="spellStart"/>
            <w:r>
              <w:rPr>
                <w:rFonts w:ascii="Arial" w:hAnsi="Arial" w:cs="Arial"/>
                <w:sz w:val="20"/>
                <w:szCs w:val="20"/>
              </w:rPr>
              <w:t>μM</w:t>
            </w:r>
            <w:proofErr w:type="spellEnd"/>
            <w:r>
              <w:rPr>
                <w:rFonts w:ascii="Arial" w:hAnsi="Arial" w:cs="Arial"/>
                <w:sz w:val="20"/>
                <w:szCs w:val="20"/>
              </w:rPr>
              <w:t xml:space="preserve"> primer </w:t>
            </w:r>
            <w:r w:rsidRPr="002E5F20">
              <w:rPr>
                <w:rFonts w:ascii="Arial" w:hAnsi="Arial" w:cs="Arial"/>
                <w:sz w:val="20"/>
                <w:szCs w:val="20"/>
              </w:rPr>
              <w:t>SWP_</w:t>
            </w:r>
            <w:r>
              <w:rPr>
                <w:rFonts w:ascii="Arial" w:hAnsi="Arial" w:cs="Arial"/>
                <w:sz w:val="20"/>
                <w:szCs w:val="20"/>
              </w:rPr>
              <w:t>2</w:t>
            </w:r>
            <w:r w:rsidRPr="002E5F20">
              <w:rPr>
                <w:rFonts w:ascii="Arial" w:hAnsi="Arial" w:cs="Arial"/>
                <w:sz w:val="20"/>
                <w:szCs w:val="20"/>
              </w:rPr>
              <w:t>F</w:t>
            </w:r>
          </w:p>
          <w:p w14:paraId="1D71993F" w14:textId="77777777" w:rsidR="00D02ABA" w:rsidRPr="00FB3075" w:rsidRDefault="00D02ABA" w:rsidP="00D02ABA">
            <w:pPr>
              <w:autoSpaceDE w:val="0"/>
              <w:autoSpaceDN w:val="0"/>
              <w:adjustRightInd w:val="0"/>
              <w:spacing w:line="360" w:lineRule="auto"/>
              <w:jc w:val="thaiDistribute"/>
              <w:rPr>
                <w:rFonts w:ascii="Arial" w:hAnsi="Arial" w:cs="Arial"/>
                <w:sz w:val="20"/>
                <w:szCs w:val="20"/>
              </w:rPr>
            </w:pPr>
            <w:r>
              <w:rPr>
                <w:rFonts w:ascii="Arial" w:hAnsi="Arial" w:cs="Arial"/>
                <w:sz w:val="20"/>
                <w:szCs w:val="20"/>
              </w:rPr>
              <w:t xml:space="preserve">0.2 </w:t>
            </w:r>
            <w:proofErr w:type="spellStart"/>
            <w:r>
              <w:rPr>
                <w:rFonts w:ascii="Arial" w:hAnsi="Arial" w:cs="Arial"/>
                <w:sz w:val="20"/>
                <w:szCs w:val="20"/>
              </w:rPr>
              <w:t>μM</w:t>
            </w:r>
            <w:proofErr w:type="spellEnd"/>
            <w:r>
              <w:rPr>
                <w:rFonts w:ascii="Arial" w:hAnsi="Arial" w:cs="Arial"/>
                <w:sz w:val="20"/>
                <w:szCs w:val="20"/>
              </w:rPr>
              <w:t xml:space="preserve"> primer </w:t>
            </w:r>
            <w:r w:rsidRPr="002E5F20">
              <w:rPr>
                <w:rFonts w:ascii="Arial" w:hAnsi="Arial" w:cs="Arial"/>
                <w:sz w:val="20"/>
                <w:szCs w:val="20"/>
              </w:rPr>
              <w:t>SWP_</w:t>
            </w:r>
            <w:r>
              <w:rPr>
                <w:rFonts w:ascii="Arial" w:hAnsi="Arial" w:cs="Arial"/>
                <w:sz w:val="20"/>
                <w:szCs w:val="20"/>
              </w:rPr>
              <w:t>2R</w:t>
            </w:r>
          </w:p>
          <w:p w14:paraId="2A10C1AE" w14:textId="77777777" w:rsidR="002627E1" w:rsidRPr="00FB3075" w:rsidRDefault="002627E1"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xml:space="preserve">0.5 unit of </w:t>
            </w:r>
            <w:proofErr w:type="spellStart"/>
            <w:r w:rsidRPr="00FB3075">
              <w:rPr>
                <w:rFonts w:ascii="Arial" w:hAnsi="Arial" w:cs="Arial"/>
                <w:i/>
                <w:iCs/>
                <w:sz w:val="20"/>
                <w:szCs w:val="20"/>
              </w:rPr>
              <w:t>Taq</w:t>
            </w:r>
            <w:proofErr w:type="spellEnd"/>
            <w:r w:rsidRPr="00FB3075">
              <w:rPr>
                <w:rFonts w:ascii="Arial" w:hAnsi="Arial" w:cs="Arial"/>
                <w:sz w:val="20"/>
                <w:szCs w:val="20"/>
              </w:rPr>
              <w:t xml:space="preserve"> DNA polymerase</w:t>
            </w:r>
          </w:p>
          <w:p w14:paraId="5FE3081A" w14:textId="77777777" w:rsidR="002627E1" w:rsidRPr="00FB3075" w:rsidRDefault="002627E1"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1 µl of the first step PCR as a template</w:t>
            </w:r>
          </w:p>
          <w:p w14:paraId="23BAA9C2" w14:textId="77777777" w:rsidR="002627E1" w:rsidRPr="00FB3075" w:rsidRDefault="002627E1" w:rsidP="0039130F">
            <w:pPr>
              <w:autoSpaceDE w:val="0"/>
              <w:autoSpaceDN w:val="0"/>
              <w:adjustRightInd w:val="0"/>
              <w:spacing w:line="360" w:lineRule="auto"/>
              <w:jc w:val="thaiDistribute"/>
              <w:rPr>
                <w:rStyle w:val="il"/>
                <w:rFonts w:ascii="Arial" w:hAnsi="Arial" w:cs="Arial"/>
                <w:sz w:val="20"/>
                <w:szCs w:val="20"/>
                <w:shd w:val="clear" w:color="auto" w:fill="FFFFFF"/>
              </w:rPr>
            </w:pPr>
            <w:r w:rsidRPr="00FB3075">
              <w:rPr>
                <w:rFonts w:ascii="Arial" w:hAnsi="Arial" w:cs="Arial"/>
                <w:sz w:val="20"/>
                <w:szCs w:val="20"/>
              </w:rPr>
              <w:t>Total reaction 12.5 µl</w:t>
            </w:r>
          </w:p>
        </w:tc>
        <w:tc>
          <w:tcPr>
            <w:tcW w:w="0" w:type="auto"/>
            <w:tcBorders>
              <w:left w:val="nil"/>
              <w:bottom w:val="single" w:sz="18" w:space="0" w:color="auto"/>
              <w:right w:val="nil"/>
            </w:tcBorders>
          </w:tcPr>
          <w:p w14:paraId="4B0F48EC" w14:textId="77777777" w:rsidR="00B430DF" w:rsidRPr="00FB3075" w:rsidRDefault="00B430DF" w:rsidP="0039130F">
            <w:pPr>
              <w:autoSpaceDE w:val="0"/>
              <w:autoSpaceDN w:val="0"/>
              <w:adjustRightInd w:val="0"/>
              <w:spacing w:line="360" w:lineRule="auto"/>
              <w:jc w:val="thaiDistribute"/>
              <w:rPr>
                <w:rFonts w:ascii="Arial" w:hAnsi="Arial" w:cs="Arial"/>
                <w:sz w:val="20"/>
                <w:szCs w:val="20"/>
              </w:rPr>
            </w:pPr>
            <w:r w:rsidRPr="00FB3075">
              <w:rPr>
                <w:rStyle w:val="il"/>
                <w:rFonts w:ascii="Arial" w:hAnsi="Arial" w:cs="Arial"/>
                <w:sz w:val="20"/>
                <w:szCs w:val="20"/>
                <w:shd w:val="clear" w:color="auto" w:fill="FFFFFF"/>
              </w:rPr>
              <w:t xml:space="preserve">Denaturation </w:t>
            </w:r>
            <w:r w:rsidRPr="00FB3075">
              <w:rPr>
                <w:rFonts w:ascii="Arial" w:hAnsi="Arial" w:cs="Arial"/>
                <w:sz w:val="20"/>
                <w:szCs w:val="20"/>
              </w:rPr>
              <w:t>95°C, 5 min</w:t>
            </w:r>
          </w:p>
          <w:p w14:paraId="246D7096" w14:textId="77777777" w:rsidR="00B430DF" w:rsidRPr="00FB3075" w:rsidRDefault="00B430DF"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20 cycles of</w:t>
            </w:r>
          </w:p>
          <w:p w14:paraId="1584DEB8" w14:textId="77777777" w:rsidR="00B430DF" w:rsidRPr="00FB3075" w:rsidRDefault="00B430DF"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Denaturation 95°C, 30 s</w:t>
            </w:r>
          </w:p>
          <w:p w14:paraId="25610379" w14:textId="77777777" w:rsidR="00B430DF" w:rsidRPr="00FB3075" w:rsidRDefault="00B430DF"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Annealing 64°C, 30 s</w:t>
            </w:r>
          </w:p>
          <w:p w14:paraId="15CF0F81" w14:textId="77777777" w:rsidR="00B430DF" w:rsidRPr="00FB3075" w:rsidRDefault="00B430DF" w:rsidP="0039130F">
            <w:pPr>
              <w:autoSpaceDE w:val="0"/>
              <w:autoSpaceDN w:val="0"/>
              <w:adjustRightInd w:val="0"/>
              <w:spacing w:line="360" w:lineRule="auto"/>
              <w:jc w:val="thaiDistribute"/>
              <w:rPr>
                <w:rFonts w:ascii="Arial" w:hAnsi="Arial" w:cs="Arial"/>
                <w:sz w:val="20"/>
                <w:szCs w:val="20"/>
              </w:rPr>
            </w:pPr>
            <w:r w:rsidRPr="00FB3075">
              <w:rPr>
                <w:rFonts w:ascii="Arial" w:hAnsi="Arial" w:cs="Arial"/>
                <w:sz w:val="20"/>
                <w:szCs w:val="20"/>
              </w:rPr>
              <w:t>- Extension 68°C, 20 s</w:t>
            </w:r>
          </w:p>
          <w:p w14:paraId="43927379" w14:textId="77777777" w:rsidR="002627E1" w:rsidRPr="00FB3075" w:rsidRDefault="00B430DF" w:rsidP="0039130F">
            <w:pPr>
              <w:autoSpaceDE w:val="0"/>
              <w:autoSpaceDN w:val="0"/>
              <w:adjustRightInd w:val="0"/>
              <w:spacing w:line="360" w:lineRule="auto"/>
              <w:jc w:val="thaiDistribute"/>
              <w:rPr>
                <w:rStyle w:val="il"/>
                <w:rFonts w:ascii="Arial" w:hAnsi="Arial" w:cs="Arial"/>
                <w:sz w:val="20"/>
                <w:szCs w:val="20"/>
                <w:shd w:val="clear" w:color="auto" w:fill="FFFFFF"/>
              </w:rPr>
            </w:pPr>
            <w:r w:rsidRPr="00FB3075">
              <w:rPr>
                <w:rFonts w:ascii="Arial" w:hAnsi="Arial" w:cs="Arial"/>
                <w:sz w:val="20"/>
                <w:szCs w:val="20"/>
              </w:rPr>
              <w:t>Final 68°C, 5 min</w:t>
            </w:r>
          </w:p>
        </w:tc>
      </w:tr>
    </w:tbl>
    <w:p w14:paraId="06EE30AB" w14:textId="77777777" w:rsidR="00372F52" w:rsidRPr="00FB3075" w:rsidRDefault="00372F52" w:rsidP="0039130F">
      <w:pPr>
        <w:autoSpaceDE w:val="0"/>
        <w:autoSpaceDN w:val="0"/>
        <w:adjustRightInd w:val="0"/>
        <w:spacing w:line="360" w:lineRule="auto"/>
        <w:jc w:val="thaiDistribute"/>
        <w:rPr>
          <w:rStyle w:val="il"/>
          <w:rFonts w:ascii="Arial" w:hAnsi="Arial" w:cs="Arial"/>
          <w:sz w:val="20"/>
          <w:szCs w:val="20"/>
          <w:shd w:val="clear" w:color="auto" w:fill="FFFFFF"/>
        </w:rPr>
      </w:pPr>
    </w:p>
    <w:p w14:paraId="7ACDB701" w14:textId="77777777" w:rsidR="003B2423" w:rsidRPr="00FB3075" w:rsidRDefault="003B2423" w:rsidP="0039130F">
      <w:pPr>
        <w:pStyle w:val="Heading3"/>
        <w:shd w:val="clear" w:color="auto" w:fill="FFFFFF"/>
        <w:spacing w:before="0" w:beforeAutospacing="0" w:after="0" w:afterAutospacing="0" w:line="252" w:lineRule="atLeast"/>
        <w:rPr>
          <w:rFonts w:ascii="Arial" w:eastAsia="Times New Roman" w:hAnsi="Arial" w:cs="Arial"/>
          <w:sz w:val="22"/>
          <w:szCs w:val="22"/>
          <w:u w:val="single"/>
          <w:cs/>
          <w:lang w:bidi="th-TH"/>
        </w:rPr>
      </w:pPr>
      <w:r w:rsidRPr="00FB3075">
        <w:rPr>
          <w:rFonts w:ascii="Arial" w:eastAsia="Times New Roman" w:hAnsi="Arial" w:cs="Arial"/>
          <w:sz w:val="22"/>
          <w:szCs w:val="22"/>
          <w:u w:val="single"/>
          <w:cs/>
          <w:lang w:bidi="th-TH"/>
        </w:rPr>
        <w:t>Acknowledgements</w:t>
      </w:r>
    </w:p>
    <w:p w14:paraId="40F2ABFB" w14:textId="77777777" w:rsidR="00372F52" w:rsidRPr="008050A3" w:rsidRDefault="003B2423" w:rsidP="008050A3">
      <w:pPr>
        <w:pStyle w:val="NormalWeb"/>
        <w:shd w:val="clear" w:color="auto" w:fill="FFFFFF"/>
        <w:spacing w:before="0" w:beforeAutospacing="0" w:after="0" w:afterAutospacing="0" w:line="252" w:lineRule="atLeast"/>
        <w:jc w:val="both"/>
        <w:rPr>
          <w:rFonts w:ascii="Arial" w:hAnsi="Arial" w:cs="Arial"/>
          <w:lang w:val="en-US" w:bidi="th-TH"/>
        </w:rPr>
      </w:pPr>
      <w:r w:rsidRPr="00FB3075">
        <w:rPr>
          <w:rFonts w:ascii="Arial" w:hAnsi="Arial" w:cs="Arial"/>
          <w:cs/>
          <w:lang w:bidi="th-TH"/>
        </w:rPr>
        <w:t xml:space="preserve">This PCR method </w:t>
      </w:r>
      <w:r w:rsidR="00E9296D">
        <w:rPr>
          <w:rFonts w:ascii="Arial" w:hAnsi="Arial" w:cs="Arial"/>
          <w:lang w:val="en-US" w:bidi="th-TH"/>
        </w:rPr>
        <w:t xml:space="preserve">arose from a collaborative </w:t>
      </w:r>
      <w:r w:rsidR="008050A3">
        <w:rPr>
          <w:rFonts w:ascii="Arial" w:hAnsi="Arial" w:cs="Arial"/>
          <w:lang w:val="en-US" w:bidi="th-TH"/>
        </w:rPr>
        <w:t xml:space="preserve">EHP </w:t>
      </w:r>
      <w:r w:rsidRPr="00FB3075">
        <w:rPr>
          <w:rFonts w:ascii="Arial" w:hAnsi="Arial" w:cs="Arial"/>
          <w:cs/>
          <w:lang w:bidi="th-TH"/>
        </w:rPr>
        <w:t xml:space="preserve">genome project between </w:t>
      </w:r>
      <w:r w:rsidR="00EF29F1" w:rsidRPr="00FB3075">
        <w:rPr>
          <w:rFonts w:ascii="Arial" w:hAnsi="Arial" w:cs="Arial"/>
          <w:cs/>
          <w:lang w:bidi="th-TH"/>
        </w:rPr>
        <w:t>scientists in Thailand</w:t>
      </w:r>
      <w:r w:rsidR="00E9296D">
        <w:rPr>
          <w:rFonts w:ascii="Arial" w:hAnsi="Arial" w:cs="Arial"/>
          <w:lang w:val="en-US" w:bidi="th-TH"/>
        </w:rPr>
        <w:t xml:space="preserve"> and the United Kingdom</w:t>
      </w:r>
      <w:r w:rsidR="00334119">
        <w:rPr>
          <w:rFonts w:ascii="Arial" w:hAnsi="Arial" w:cs="Arial"/>
          <w:lang w:val="en-US" w:bidi="th-TH"/>
        </w:rPr>
        <w:t xml:space="preserve"> (UK)</w:t>
      </w:r>
      <w:r w:rsidR="00E9296D">
        <w:rPr>
          <w:rFonts w:ascii="Arial" w:hAnsi="Arial" w:cs="Arial"/>
          <w:lang w:val="en-US" w:bidi="th-TH"/>
        </w:rPr>
        <w:t xml:space="preserve">. Partners in Thailand included scientists at the </w:t>
      </w:r>
      <w:r w:rsidRPr="00FB3075">
        <w:rPr>
          <w:rFonts w:ascii="Arial" w:hAnsi="Arial" w:cs="Arial"/>
          <w:cs/>
          <w:lang w:bidi="th-TH"/>
        </w:rPr>
        <w:t xml:space="preserve">Department of Biochemistry and </w:t>
      </w:r>
      <w:r w:rsidR="00E9296D">
        <w:rPr>
          <w:rFonts w:ascii="Arial" w:hAnsi="Arial" w:cs="Arial"/>
          <w:lang w:val="en-US" w:bidi="th-TH"/>
        </w:rPr>
        <w:t xml:space="preserve">the Center of Excellence for Shrimp Molecular Biology and </w:t>
      </w:r>
      <w:proofErr w:type="spellStart"/>
      <w:r w:rsidR="00E9296D">
        <w:rPr>
          <w:rFonts w:ascii="Arial" w:hAnsi="Arial" w:cs="Arial"/>
          <w:lang w:val="en-US" w:bidi="th-TH"/>
        </w:rPr>
        <w:t>Bitechnology</w:t>
      </w:r>
      <w:proofErr w:type="spellEnd"/>
      <w:r w:rsidR="00E9296D">
        <w:rPr>
          <w:rFonts w:ascii="Arial" w:hAnsi="Arial" w:cs="Arial"/>
          <w:lang w:val="en-US" w:bidi="th-TH"/>
        </w:rPr>
        <w:t xml:space="preserve"> (</w:t>
      </w:r>
      <w:r w:rsidRPr="00FB3075">
        <w:rPr>
          <w:rFonts w:ascii="Arial" w:hAnsi="Arial" w:cs="Arial"/>
          <w:cs/>
          <w:lang w:bidi="th-TH"/>
        </w:rPr>
        <w:t>Centex Shrimp</w:t>
      </w:r>
      <w:r w:rsidR="00E9296D">
        <w:rPr>
          <w:rFonts w:ascii="Arial" w:hAnsi="Arial" w:cs="Arial"/>
          <w:lang w:val="en-US" w:bidi="th-TH"/>
        </w:rPr>
        <w:t>) at the</w:t>
      </w:r>
      <w:r w:rsidRPr="00FB3075">
        <w:rPr>
          <w:rFonts w:ascii="Arial" w:hAnsi="Arial" w:cs="Arial"/>
          <w:cs/>
          <w:lang w:bidi="th-TH"/>
        </w:rPr>
        <w:t xml:space="preserve"> Faculty of Science, Mahidol University and</w:t>
      </w:r>
      <w:r w:rsidR="00E9296D">
        <w:rPr>
          <w:rFonts w:ascii="Arial" w:hAnsi="Arial" w:cs="Arial"/>
          <w:lang w:val="en-US" w:bidi="th-TH"/>
        </w:rPr>
        <w:t xml:space="preserve"> the</w:t>
      </w:r>
      <w:r w:rsidRPr="00FB3075">
        <w:rPr>
          <w:rFonts w:ascii="Arial" w:hAnsi="Arial" w:cs="Arial"/>
          <w:cs/>
          <w:lang w:bidi="th-TH"/>
        </w:rPr>
        <w:t xml:space="preserve"> Shri</w:t>
      </w:r>
      <w:r w:rsidR="00E9296D">
        <w:rPr>
          <w:rFonts w:ascii="Arial" w:hAnsi="Arial" w:cs="Arial"/>
          <w:cs/>
          <w:lang w:bidi="th-TH"/>
        </w:rPr>
        <w:t>mp-virus Interaction Laboratory</w:t>
      </w:r>
      <w:r w:rsidR="00E9296D">
        <w:rPr>
          <w:rFonts w:ascii="Arial" w:hAnsi="Arial" w:cs="Arial"/>
          <w:lang w:val="en-US" w:bidi="th-TH"/>
        </w:rPr>
        <w:t xml:space="preserve"> of the</w:t>
      </w:r>
      <w:r w:rsidRPr="00FB3075">
        <w:rPr>
          <w:rFonts w:ascii="Arial" w:hAnsi="Arial" w:cs="Arial"/>
          <w:cs/>
          <w:lang w:bidi="th-TH"/>
        </w:rPr>
        <w:t xml:space="preserve"> National Center for Genetic En</w:t>
      </w:r>
      <w:r w:rsidR="00EF29F1" w:rsidRPr="00FB3075">
        <w:rPr>
          <w:rFonts w:ascii="Arial" w:hAnsi="Arial" w:cs="Arial"/>
          <w:cs/>
          <w:lang w:bidi="th-TH"/>
        </w:rPr>
        <w:t>gineering and Biotechnology (BIOTEC)</w:t>
      </w:r>
      <w:r w:rsidR="00E9296D">
        <w:rPr>
          <w:rFonts w:ascii="Arial" w:hAnsi="Arial" w:cs="Arial"/>
          <w:lang w:val="en-US" w:bidi="th-TH"/>
        </w:rPr>
        <w:t xml:space="preserve">. Partners in the UK included </w:t>
      </w:r>
      <w:r w:rsidR="00EF29F1" w:rsidRPr="00FB3075">
        <w:rPr>
          <w:rFonts w:ascii="Arial" w:hAnsi="Arial" w:cs="Arial"/>
          <w:cs/>
          <w:lang w:bidi="th-TH"/>
        </w:rPr>
        <w:t>scientists at</w:t>
      </w:r>
      <w:r w:rsidR="008050A3">
        <w:rPr>
          <w:rFonts w:ascii="Arial" w:hAnsi="Arial" w:cs="Arial"/>
          <w:lang w:val="en-US" w:bidi="th-TH"/>
        </w:rPr>
        <w:t xml:space="preserve"> the</w:t>
      </w:r>
      <w:r w:rsidR="00EF29F1" w:rsidRPr="00FB3075">
        <w:rPr>
          <w:rFonts w:ascii="Arial" w:hAnsi="Arial" w:cs="Arial"/>
          <w:cs/>
          <w:lang w:bidi="th-TH"/>
        </w:rPr>
        <w:t xml:space="preserve"> University of Exeter and</w:t>
      </w:r>
      <w:r w:rsidR="00E9296D">
        <w:rPr>
          <w:rFonts w:ascii="Arial" w:hAnsi="Arial" w:cs="Arial"/>
          <w:lang w:val="en-US" w:bidi="th-TH"/>
        </w:rPr>
        <w:t xml:space="preserve"> at the </w:t>
      </w:r>
      <w:r w:rsidR="00EF29F1" w:rsidRPr="00FB3075">
        <w:rPr>
          <w:rFonts w:ascii="Arial" w:hAnsi="Arial" w:cs="Arial"/>
          <w:cs/>
          <w:lang w:bidi="th-TH"/>
        </w:rPr>
        <w:t>Center for Environment, Fisherie</w:t>
      </w:r>
      <w:r w:rsidR="00FA5650">
        <w:rPr>
          <w:rFonts w:ascii="Arial" w:hAnsi="Arial" w:cs="Arial"/>
          <w:cs/>
          <w:lang w:bidi="th-TH"/>
        </w:rPr>
        <w:t>s and Aquaculture Science (C</w:t>
      </w:r>
      <w:r w:rsidR="00FA5650">
        <w:rPr>
          <w:rFonts w:ascii="Arial" w:hAnsi="Arial" w:cs="Arial"/>
          <w:lang w:val="en-US" w:bidi="th-TH"/>
        </w:rPr>
        <w:t>EFAS</w:t>
      </w:r>
      <w:r w:rsidR="00EF29F1" w:rsidRPr="00FB3075">
        <w:rPr>
          <w:rFonts w:ascii="Arial" w:hAnsi="Arial" w:cs="Arial"/>
          <w:cs/>
          <w:lang w:bidi="th-TH"/>
        </w:rPr>
        <w:t xml:space="preserve">). </w:t>
      </w:r>
      <w:r w:rsidR="003F0EBF" w:rsidRPr="00FB3075">
        <w:rPr>
          <w:rFonts w:ascii="Arial" w:hAnsi="Arial" w:cs="Arial"/>
          <w:cs/>
          <w:lang w:bidi="th-TH"/>
        </w:rPr>
        <w:t xml:space="preserve">The funding </w:t>
      </w:r>
      <w:r w:rsidR="00E9296D">
        <w:rPr>
          <w:rFonts w:ascii="Arial" w:hAnsi="Arial" w:cs="Arial"/>
          <w:lang w:val="en-US" w:bidi="th-TH"/>
        </w:rPr>
        <w:t>to</w:t>
      </w:r>
      <w:r w:rsidR="003F0EBF" w:rsidRPr="00FB3075">
        <w:rPr>
          <w:rFonts w:ascii="Arial" w:hAnsi="Arial" w:cs="Arial"/>
          <w:cs/>
          <w:lang w:bidi="th-TH"/>
        </w:rPr>
        <w:t xml:space="preserve"> </w:t>
      </w:r>
      <w:r w:rsidR="00E9296D">
        <w:rPr>
          <w:rFonts w:ascii="Arial" w:hAnsi="Arial" w:cs="Arial"/>
          <w:cs/>
          <w:lang w:bidi="th-TH"/>
        </w:rPr>
        <w:t>develop</w:t>
      </w:r>
      <w:r w:rsidR="003F0EBF" w:rsidRPr="00FB3075">
        <w:rPr>
          <w:rFonts w:ascii="Arial" w:hAnsi="Arial" w:cs="Arial"/>
          <w:cs/>
          <w:lang w:bidi="th-TH"/>
        </w:rPr>
        <w:t xml:space="preserve"> the SWP method came from the National Research Council of Thailand.</w:t>
      </w:r>
    </w:p>
    <w:sectPr w:rsidR="00372F52" w:rsidRPr="008050A3" w:rsidSect="00AC7FE7">
      <w:footerReference w:type="default" r:id="rId9"/>
      <w:pgSz w:w="12240" w:h="15840"/>
      <w:pgMar w:top="1170" w:right="1800" w:bottom="117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806FA" w14:textId="77777777" w:rsidR="00BB3F20" w:rsidRDefault="00BB3F20" w:rsidP="008050A3">
      <w:r>
        <w:separator/>
      </w:r>
    </w:p>
  </w:endnote>
  <w:endnote w:type="continuationSeparator" w:id="0">
    <w:p w14:paraId="46E271CB" w14:textId="77777777" w:rsidR="00BB3F20" w:rsidRDefault="00BB3F20" w:rsidP="0080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rdia New">
    <w:panose1 w:val="020B0300020202020204"/>
    <w:charset w:val="00"/>
    <w:family w:val="auto"/>
    <w:pitch w:val="variable"/>
    <w:sig w:usb0="A10002FF" w:usb1="5000204A" w:usb2="00000020" w:usb3="00000000" w:csb0="00010097"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ngsana New">
    <w:panose1 w:val="020B0300020202020204"/>
    <w:charset w:val="00"/>
    <w:family w:val="auto"/>
    <w:pitch w:val="variable"/>
    <w:sig w:usb0="A10002FF" w:usb1="5000204A" w:usb2="00000020" w:usb3="00000000" w:csb0="0001009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01933"/>
      <w:docPartObj>
        <w:docPartGallery w:val="Page Numbers (Bottom of Page)"/>
        <w:docPartUnique/>
      </w:docPartObj>
    </w:sdtPr>
    <w:sdtEndPr>
      <w:rPr>
        <w:noProof/>
      </w:rPr>
    </w:sdtEndPr>
    <w:sdtContent>
      <w:p w14:paraId="07DE725C" w14:textId="77777777" w:rsidR="008050A3" w:rsidRDefault="008050A3">
        <w:pPr>
          <w:pStyle w:val="Footer"/>
          <w:jc w:val="right"/>
        </w:pPr>
        <w:r>
          <w:fldChar w:fldCharType="begin"/>
        </w:r>
        <w:r>
          <w:instrText xml:space="preserve"> PAGE   \* MERGEFORMAT </w:instrText>
        </w:r>
        <w:r>
          <w:fldChar w:fldCharType="separate"/>
        </w:r>
        <w:r w:rsidR="005A7F53">
          <w:rPr>
            <w:noProof/>
          </w:rPr>
          <w:t>2</w:t>
        </w:r>
        <w:r>
          <w:rPr>
            <w:noProof/>
          </w:rPr>
          <w:fldChar w:fldCharType="end"/>
        </w:r>
      </w:p>
    </w:sdtContent>
  </w:sdt>
  <w:p w14:paraId="7BD5F67B" w14:textId="77777777" w:rsidR="008050A3" w:rsidRDefault="008050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C9786" w14:textId="77777777" w:rsidR="00BB3F20" w:rsidRDefault="00BB3F20" w:rsidP="008050A3">
      <w:r>
        <w:separator/>
      </w:r>
    </w:p>
  </w:footnote>
  <w:footnote w:type="continuationSeparator" w:id="0">
    <w:p w14:paraId="46A30B66" w14:textId="77777777" w:rsidR="00BB3F20" w:rsidRDefault="00BB3F20" w:rsidP="008050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B45AC"/>
    <w:multiLevelType w:val="hybridMultilevel"/>
    <w:tmpl w:val="D2C2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D9"/>
    <w:rsid w:val="00021CA7"/>
    <w:rsid w:val="00026A9A"/>
    <w:rsid w:val="0009656E"/>
    <w:rsid w:val="000E5E45"/>
    <w:rsid w:val="0010716A"/>
    <w:rsid w:val="001862F0"/>
    <w:rsid w:val="001C19FA"/>
    <w:rsid w:val="001E6805"/>
    <w:rsid w:val="00201B85"/>
    <w:rsid w:val="00214C7E"/>
    <w:rsid w:val="002627E1"/>
    <w:rsid w:val="002E34F9"/>
    <w:rsid w:val="002E5F20"/>
    <w:rsid w:val="002F7F0C"/>
    <w:rsid w:val="00334119"/>
    <w:rsid w:val="00342395"/>
    <w:rsid w:val="00372F52"/>
    <w:rsid w:val="0039130F"/>
    <w:rsid w:val="003B2423"/>
    <w:rsid w:val="003E3874"/>
    <w:rsid w:val="003F0EBF"/>
    <w:rsid w:val="00452BFC"/>
    <w:rsid w:val="004920E9"/>
    <w:rsid w:val="004D36EB"/>
    <w:rsid w:val="004E3F53"/>
    <w:rsid w:val="004F3D4F"/>
    <w:rsid w:val="005151D5"/>
    <w:rsid w:val="00515D00"/>
    <w:rsid w:val="00533AA0"/>
    <w:rsid w:val="00543E9A"/>
    <w:rsid w:val="005653CC"/>
    <w:rsid w:val="005A2681"/>
    <w:rsid w:val="005A6476"/>
    <w:rsid w:val="005A7F53"/>
    <w:rsid w:val="005E21F5"/>
    <w:rsid w:val="00600FCF"/>
    <w:rsid w:val="0062780D"/>
    <w:rsid w:val="00636376"/>
    <w:rsid w:val="00636865"/>
    <w:rsid w:val="0067201D"/>
    <w:rsid w:val="00692288"/>
    <w:rsid w:val="006A43A8"/>
    <w:rsid w:val="00743372"/>
    <w:rsid w:val="0076660B"/>
    <w:rsid w:val="00791008"/>
    <w:rsid w:val="007B0DB3"/>
    <w:rsid w:val="007C511D"/>
    <w:rsid w:val="008050A3"/>
    <w:rsid w:val="00822ECF"/>
    <w:rsid w:val="008718E1"/>
    <w:rsid w:val="008D5BC4"/>
    <w:rsid w:val="008F55B2"/>
    <w:rsid w:val="00957C78"/>
    <w:rsid w:val="00975ED9"/>
    <w:rsid w:val="009C5A91"/>
    <w:rsid w:val="00A25F89"/>
    <w:rsid w:val="00A3467E"/>
    <w:rsid w:val="00A626D4"/>
    <w:rsid w:val="00A71F8B"/>
    <w:rsid w:val="00A8043A"/>
    <w:rsid w:val="00A83484"/>
    <w:rsid w:val="00AA72AE"/>
    <w:rsid w:val="00AC7FE7"/>
    <w:rsid w:val="00B430DF"/>
    <w:rsid w:val="00B63271"/>
    <w:rsid w:val="00B81CB7"/>
    <w:rsid w:val="00BA43AF"/>
    <w:rsid w:val="00BB3F20"/>
    <w:rsid w:val="00BE7A6F"/>
    <w:rsid w:val="00BF3E8C"/>
    <w:rsid w:val="00C068A8"/>
    <w:rsid w:val="00C40E32"/>
    <w:rsid w:val="00D01EEB"/>
    <w:rsid w:val="00D02ABA"/>
    <w:rsid w:val="00D24DD9"/>
    <w:rsid w:val="00DA35D0"/>
    <w:rsid w:val="00DA4B23"/>
    <w:rsid w:val="00DD384B"/>
    <w:rsid w:val="00E859E7"/>
    <w:rsid w:val="00E91E1C"/>
    <w:rsid w:val="00E9296D"/>
    <w:rsid w:val="00EF29F1"/>
    <w:rsid w:val="00F25C09"/>
    <w:rsid w:val="00F52BB2"/>
    <w:rsid w:val="00F73BF8"/>
    <w:rsid w:val="00FA5650"/>
    <w:rsid w:val="00FA576A"/>
    <w:rsid w:val="00FB3075"/>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D8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4DD9"/>
    <w:pPr>
      <w:spacing w:before="100" w:beforeAutospacing="1" w:after="100" w:afterAutospacing="1"/>
      <w:outlineLvl w:val="2"/>
    </w:pPr>
    <w:rPr>
      <w:rFonts w:ascii="Times" w:hAnsi="Times"/>
      <w:b/>
      <w:bCs/>
      <w:sz w:val="27"/>
      <w:szCs w:val="27"/>
      <w:lang w:val="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4DD9"/>
    <w:rPr>
      <w:rFonts w:ascii="Times" w:hAnsi="Times"/>
      <w:b/>
      <w:bCs/>
      <w:sz w:val="27"/>
      <w:szCs w:val="27"/>
      <w:lang w:val="th-TH"/>
    </w:rPr>
  </w:style>
  <w:style w:type="paragraph" w:styleId="NormalWeb">
    <w:name w:val="Normal (Web)"/>
    <w:basedOn w:val="Normal"/>
    <w:uiPriority w:val="99"/>
    <w:unhideWhenUsed/>
    <w:rsid w:val="00D24DD9"/>
    <w:pPr>
      <w:spacing w:before="100" w:beforeAutospacing="1" w:after="100" w:afterAutospacing="1"/>
    </w:pPr>
    <w:rPr>
      <w:rFonts w:ascii="Times" w:hAnsi="Times" w:cs="Times New Roman"/>
      <w:sz w:val="20"/>
      <w:szCs w:val="20"/>
      <w:lang w:val="th-TH"/>
    </w:rPr>
  </w:style>
  <w:style w:type="character" w:customStyle="1" w:styleId="apple-converted-space">
    <w:name w:val="apple-converted-space"/>
    <w:basedOn w:val="DefaultParagraphFont"/>
    <w:rsid w:val="00D24DD9"/>
  </w:style>
  <w:style w:type="table" w:customStyle="1" w:styleId="PlainTable21">
    <w:name w:val="Plain Table 21"/>
    <w:basedOn w:val="TableNormal"/>
    <w:uiPriority w:val="99"/>
    <w:rsid w:val="008D5BC4"/>
    <w:rPr>
      <w:rFonts w:eastAsiaTheme="minorHAnsi"/>
      <w:sz w:val="22"/>
      <w:szCs w:val="28"/>
      <w:lang w:bidi="th-T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l">
    <w:name w:val="il"/>
    <w:basedOn w:val="DefaultParagraphFont"/>
    <w:rsid w:val="00372F52"/>
  </w:style>
  <w:style w:type="paragraph" w:styleId="ListParagraph">
    <w:name w:val="List Paragraph"/>
    <w:basedOn w:val="Normal"/>
    <w:uiPriority w:val="34"/>
    <w:qFormat/>
    <w:rsid w:val="00372F52"/>
    <w:pPr>
      <w:ind w:left="720"/>
      <w:contextualSpacing/>
    </w:pPr>
  </w:style>
  <w:style w:type="table" w:styleId="TableGrid">
    <w:name w:val="Table Grid"/>
    <w:basedOn w:val="TableNormal"/>
    <w:uiPriority w:val="59"/>
    <w:rsid w:val="00262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50A3"/>
    <w:rPr>
      <w:color w:val="0000FF" w:themeColor="hyperlink"/>
      <w:u w:val="single"/>
    </w:rPr>
  </w:style>
  <w:style w:type="paragraph" w:styleId="Header">
    <w:name w:val="header"/>
    <w:basedOn w:val="Normal"/>
    <w:link w:val="HeaderChar"/>
    <w:uiPriority w:val="99"/>
    <w:unhideWhenUsed/>
    <w:rsid w:val="008050A3"/>
    <w:pPr>
      <w:tabs>
        <w:tab w:val="center" w:pos="4680"/>
        <w:tab w:val="right" w:pos="9360"/>
      </w:tabs>
    </w:pPr>
  </w:style>
  <w:style w:type="character" w:customStyle="1" w:styleId="HeaderChar">
    <w:name w:val="Header Char"/>
    <w:basedOn w:val="DefaultParagraphFont"/>
    <w:link w:val="Header"/>
    <w:uiPriority w:val="99"/>
    <w:rsid w:val="008050A3"/>
  </w:style>
  <w:style w:type="paragraph" w:styleId="Footer">
    <w:name w:val="footer"/>
    <w:basedOn w:val="Normal"/>
    <w:link w:val="FooterChar"/>
    <w:uiPriority w:val="99"/>
    <w:unhideWhenUsed/>
    <w:rsid w:val="008050A3"/>
    <w:pPr>
      <w:tabs>
        <w:tab w:val="center" w:pos="4680"/>
        <w:tab w:val="right" w:pos="9360"/>
      </w:tabs>
    </w:pPr>
  </w:style>
  <w:style w:type="character" w:customStyle="1" w:styleId="FooterChar">
    <w:name w:val="Footer Char"/>
    <w:basedOn w:val="DefaultParagraphFont"/>
    <w:link w:val="Footer"/>
    <w:uiPriority w:val="99"/>
    <w:rsid w:val="008050A3"/>
  </w:style>
  <w:style w:type="paragraph" w:styleId="BalloonText">
    <w:name w:val="Balloon Text"/>
    <w:basedOn w:val="Normal"/>
    <w:link w:val="BalloonTextChar"/>
    <w:uiPriority w:val="99"/>
    <w:semiHidden/>
    <w:unhideWhenUsed/>
    <w:rsid w:val="00E85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9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4DD9"/>
    <w:pPr>
      <w:spacing w:before="100" w:beforeAutospacing="1" w:after="100" w:afterAutospacing="1"/>
      <w:outlineLvl w:val="2"/>
    </w:pPr>
    <w:rPr>
      <w:rFonts w:ascii="Times" w:hAnsi="Times"/>
      <w:b/>
      <w:bCs/>
      <w:sz w:val="27"/>
      <w:szCs w:val="27"/>
      <w:lang w:val="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4DD9"/>
    <w:rPr>
      <w:rFonts w:ascii="Times" w:hAnsi="Times"/>
      <w:b/>
      <w:bCs/>
      <w:sz w:val="27"/>
      <w:szCs w:val="27"/>
      <w:lang w:val="th-TH"/>
    </w:rPr>
  </w:style>
  <w:style w:type="paragraph" w:styleId="NormalWeb">
    <w:name w:val="Normal (Web)"/>
    <w:basedOn w:val="Normal"/>
    <w:uiPriority w:val="99"/>
    <w:unhideWhenUsed/>
    <w:rsid w:val="00D24DD9"/>
    <w:pPr>
      <w:spacing w:before="100" w:beforeAutospacing="1" w:after="100" w:afterAutospacing="1"/>
    </w:pPr>
    <w:rPr>
      <w:rFonts w:ascii="Times" w:hAnsi="Times" w:cs="Times New Roman"/>
      <w:sz w:val="20"/>
      <w:szCs w:val="20"/>
      <w:lang w:val="th-TH"/>
    </w:rPr>
  </w:style>
  <w:style w:type="character" w:customStyle="1" w:styleId="apple-converted-space">
    <w:name w:val="apple-converted-space"/>
    <w:basedOn w:val="DefaultParagraphFont"/>
    <w:rsid w:val="00D24DD9"/>
  </w:style>
  <w:style w:type="table" w:customStyle="1" w:styleId="PlainTable21">
    <w:name w:val="Plain Table 21"/>
    <w:basedOn w:val="TableNormal"/>
    <w:uiPriority w:val="99"/>
    <w:rsid w:val="008D5BC4"/>
    <w:rPr>
      <w:rFonts w:eastAsiaTheme="minorHAnsi"/>
      <w:sz w:val="22"/>
      <w:szCs w:val="28"/>
      <w:lang w:bidi="th-T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l">
    <w:name w:val="il"/>
    <w:basedOn w:val="DefaultParagraphFont"/>
    <w:rsid w:val="00372F52"/>
  </w:style>
  <w:style w:type="paragraph" w:styleId="ListParagraph">
    <w:name w:val="List Paragraph"/>
    <w:basedOn w:val="Normal"/>
    <w:uiPriority w:val="34"/>
    <w:qFormat/>
    <w:rsid w:val="00372F52"/>
    <w:pPr>
      <w:ind w:left="720"/>
      <w:contextualSpacing/>
    </w:pPr>
  </w:style>
  <w:style w:type="table" w:styleId="TableGrid">
    <w:name w:val="Table Grid"/>
    <w:basedOn w:val="TableNormal"/>
    <w:uiPriority w:val="59"/>
    <w:rsid w:val="00262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50A3"/>
    <w:rPr>
      <w:color w:val="0000FF" w:themeColor="hyperlink"/>
      <w:u w:val="single"/>
    </w:rPr>
  </w:style>
  <w:style w:type="paragraph" w:styleId="Header">
    <w:name w:val="header"/>
    <w:basedOn w:val="Normal"/>
    <w:link w:val="HeaderChar"/>
    <w:uiPriority w:val="99"/>
    <w:unhideWhenUsed/>
    <w:rsid w:val="008050A3"/>
    <w:pPr>
      <w:tabs>
        <w:tab w:val="center" w:pos="4680"/>
        <w:tab w:val="right" w:pos="9360"/>
      </w:tabs>
    </w:pPr>
  </w:style>
  <w:style w:type="character" w:customStyle="1" w:styleId="HeaderChar">
    <w:name w:val="Header Char"/>
    <w:basedOn w:val="DefaultParagraphFont"/>
    <w:link w:val="Header"/>
    <w:uiPriority w:val="99"/>
    <w:rsid w:val="008050A3"/>
  </w:style>
  <w:style w:type="paragraph" w:styleId="Footer">
    <w:name w:val="footer"/>
    <w:basedOn w:val="Normal"/>
    <w:link w:val="FooterChar"/>
    <w:uiPriority w:val="99"/>
    <w:unhideWhenUsed/>
    <w:rsid w:val="008050A3"/>
    <w:pPr>
      <w:tabs>
        <w:tab w:val="center" w:pos="4680"/>
        <w:tab w:val="right" w:pos="9360"/>
      </w:tabs>
    </w:pPr>
  </w:style>
  <w:style w:type="character" w:customStyle="1" w:styleId="FooterChar">
    <w:name w:val="Footer Char"/>
    <w:basedOn w:val="DefaultParagraphFont"/>
    <w:link w:val="Footer"/>
    <w:uiPriority w:val="99"/>
    <w:rsid w:val="008050A3"/>
  </w:style>
  <w:style w:type="paragraph" w:styleId="BalloonText">
    <w:name w:val="Balloon Text"/>
    <w:basedOn w:val="Normal"/>
    <w:link w:val="BalloonTextChar"/>
    <w:uiPriority w:val="99"/>
    <w:semiHidden/>
    <w:unhideWhenUsed/>
    <w:rsid w:val="00E85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9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6409">
      <w:bodyDiv w:val="1"/>
      <w:marLeft w:val="0"/>
      <w:marRight w:val="0"/>
      <w:marTop w:val="0"/>
      <w:marBottom w:val="0"/>
      <w:divBdr>
        <w:top w:val="none" w:sz="0" w:space="0" w:color="auto"/>
        <w:left w:val="none" w:sz="0" w:space="0" w:color="auto"/>
        <w:bottom w:val="none" w:sz="0" w:space="0" w:color="auto"/>
        <w:right w:val="none" w:sz="0" w:space="0" w:color="auto"/>
      </w:divBdr>
    </w:div>
    <w:div w:id="16695972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ornchuma.its@mahidol.ac.th"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6968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Ornchuma Itsathitphaisarn</dc:creator>
  <cp:lastModifiedBy>Ornchuma Itsathitphaisarn</cp:lastModifiedBy>
  <cp:revision>2</cp:revision>
  <dcterms:created xsi:type="dcterms:W3CDTF">2016-07-01T06:22:00Z</dcterms:created>
  <dcterms:modified xsi:type="dcterms:W3CDTF">2016-07-01T06:22:00Z</dcterms:modified>
</cp:coreProperties>
</file>